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pacing w:line="520" w:lineRule="exact"/>
        <w:jc w:val="center"/>
        <w:rPr>
          <w:rFonts w:eastAsia="方正小标宋简体"/>
          <w:color w:val="000000"/>
          <w:kern w:val="0"/>
          <w:sz w:val="40"/>
          <w:szCs w:val="40"/>
        </w:rPr>
      </w:pPr>
      <w:r>
        <w:rPr>
          <w:rFonts w:eastAsia="方正小标宋简体"/>
          <w:color w:val="000000"/>
          <w:kern w:val="0"/>
          <w:sz w:val="40"/>
          <w:szCs w:val="40"/>
        </w:rPr>
        <w:t>湖州职业技术学</w:t>
      </w:r>
      <w:r>
        <w:rPr>
          <w:rFonts w:hint="eastAsia" w:eastAsia="方正小标宋简体"/>
          <w:color w:val="000000"/>
          <w:kern w:val="0"/>
          <w:sz w:val="40"/>
          <w:szCs w:val="40"/>
        </w:rPr>
        <w:t>院</w:t>
      </w:r>
      <w:r>
        <w:rPr>
          <w:rFonts w:hint="default" w:ascii="Times New Roman" w:hAnsi="Times New Roman" w:eastAsia="方正小标宋简体" w:cs="Times New Roman"/>
          <w:color w:val="000000"/>
          <w:kern w:val="0"/>
          <w:sz w:val="40"/>
          <w:szCs w:val="40"/>
        </w:rPr>
        <w:t>2024</w:t>
      </w:r>
      <w:r>
        <w:rPr>
          <w:rFonts w:hint="eastAsia" w:eastAsia="方正小标宋简体"/>
          <w:color w:val="000000"/>
          <w:kern w:val="0"/>
          <w:sz w:val="40"/>
          <w:szCs w:val="40"/>
        </w:rPr>
        <w:t>级现代物流管理</w:t>
      </w:r>
      <w:r>
        <w:rPr>
          <w:rFonts w:eastAsia="方正小标宋简体"/>
          <w:color w:val="000000"/>
          <w:kern w:val="0"/>
          <w:sz w:val="40"/>
          <w:szCs w:val="40"/>
        </w:rPr>
        <w:t>专业</w:t>
      </w:r>
      <w:r>
        <w:rPr>
          <w:rFonts w:hint="eastAsia" w:eastAsia="方正小标宋简体"/>
          <w:color w:val="000000"/>
          <w:kern w:val="0"/>
          <w:sz w:val="40"/>
          <w:szCs w:val="40"/>
        </w:rPr>
        <w:t>（</w:t>
      </w:r>
      <w:r>
        <w:rPr>
          <w:rFonts w:hint="eastAsia" w:eastAsia="方正小标宋简体"/>
          <w:color w:val="000000"/>
          <w:kern w:val="0"/>
          <w:sz w:val="40"/>
          <w:szCs w:val="40"/>
          <w:lang w:val="en-US"/>
        </w:rPr>
        <w:t>五年制</w:t>
      </w:r>
      <w:r>
        <w:rPr>
          <w:rFonts w:hint="eastAsia" w:eastAsia="方正小标宋简体"/>
          <w:color w:val="000000"/>
          <w:kern w:val="0"/>
          <w:sz w:val="40"/>
          <w:szCs w:val="40"/>
        </w:rPr>
        <w:t>）</w:t>
      </w:r>
      <w:r>
        <w:rPr>
          <w:rFonts w:eastAsia="方正小标宋简体"/>
          <w:color w:val="000000"/>
          <w:kern w:val="0"/>
          <w:sz w:val="40"/>
          <w:szCs w:val="40"/>
        </w:rPr>
        <w:t>人才培养方案</w:t>
      </w:r>
    </w:p>
    <w:p>
      <w:pPr>
        <w:pStyle w:val="7"/>
        <w:spacing w:line="520" w:lineRule="exact"/>
        <w:jc w:val="center"/>
        <w:rPr>
          <w:rFonts w:eastAsia="方正小标宋简体"/>
          <w:color w:val="000000"/>
          <w:kern w:val="0"/>
          <w:sz w:val="40"/>
          <w:szCs w:val="40"/>
          <w:lang w:val="en-US"/>
        </w:rPr>
      </w:pPr>
    </w:p>
    <w:p>
      <w:pPr>
        <w:spacing w:line="400" w:lineRule="exact"/>
        <w:ind w:firstLine="480" w:firstLineChars="200"/>
        <w:jc w:val="left"/>
        <w:outlineLvl w:val="1"/>
        <w:rPr>
          <w:rFonts w:hint="eastAsia" w:ascii="黑体" w:hAnsi="黑体" w:eastAsia="黑体" w:cs="黑体"/>
          <w:b w:val="0"/>
          <w:bCs w:val="0"/>
          <w:kern w:val="0"/>
          <w:sz w:val="24"/>
          <w:szCs w:val="24"/>
        </w:rPr>
      </w:pPr>
      <w:r>
        <w:rPr>
          <w:rFonts w:hint="eastAsia" w:ascii="黑体" w:hAnsi="黑体" w:eastAsia="黑体" w:cs="黑体"/>
          <w:b w:val="0"/>
          <w:bCs w:val="0"/>
          <w:kern w:val="0"/>
          <w:sz w:val="24"/>
          <w:szCs w:val="24"/>
        </w:rPr>
        <w:t>一、专业名称与代码</w:t>
      </w:r>
    </w:p>
    <w:p>
      <w:pPr>
        <w:spacing w:line="400" w:lineRule="exact"/>
        <w:ind w:firstLine="420" w:firstLineChars="200"/>
        <w:rPr>
          <w:szCs w:val="21"/>
        </w:rPr>
      </w:pPr>
      <w:r>
        <w:rPr>
          <w:szCs w:val="21"/>
        </w:rPr>
        <w:t>专业名称：</w:t>
      </w:r>
      <w:r>
        <w:rPr>
          <w:rFonts w:hint="eastAsia"/>
          <w:szCs w:val="21"/>
        </w:rPr>
        <w:t>现代物流管理</w:t>
      </w:r>
    </w:p>
    <w:p>
      <w:pPr>
        <w:spacing w:line="400" w:lineRule="exact"/>
        <w:ind w:firstLine="420" w:firstLineChars="200"/>
        <w:rPr>
          <w:szCs w:val="21"/>
        </w:rPr>
      </w:pPr>
      <w:r>
        <w:rPr>
          <w:szCs w:val="21"/>
        </w:rPr>
        <w:t>专业代码：530802</w:t>
      </w:r>
    </w:p>
    <w:p>
      <w:pPr>
        <w:spacing w:line="400" w:lineRule="exact"/>
        <w:ind w:firstLine="480" w:firstLineChars="200"/>
        <w:jc w:val="left"/>
        <w:outlineLvl w:val="1"/>
        <w:rPr>
          <w:rFonts w:hint="eastAsia" w:ascii="黑体" w:hAnsi="黑体" w:eastAsia="黑体" w:cs="黑体"/>
          <w:b w:val="0"/>
          <w:bCs w:val="0"/>
          <w:kern w:val="0"/>
          <w:sz w:val="24"/>
          <w:szCs w:val="24"/>
        </w:rPr>
      </w:pPr>
      <w:r>
        <w:rPr>
          <w:rFonts w:hint="eastAsia" w:ascii="黑体" w:hAnsi="黑体" w:eastAsia="黑体" w:cs="黑体"/>
          <w:b w:val="0"/>
          <w:bCs w:val="0"/>
          <w:kern w:val="0"/>
          <w:sz w:val="24"/>
          <w:szCs w:val="24"/>
        </w:rPr>
        <w:t>二、入学要求</w:t>
      </w:r>
    </w:p>
    <w:p>
      <w:pPr>
        <w:spacing w:line="400" w:lineRule="exact"/>
        <w:ind w:firstLine="420" w:firstLineChars="200"/>
        <w:jc w:val="left"/>
        <w:rPr>
          <w:color w:val="000000"/>
          <w:kern w:val="0"/>
          <w:szCs w:val="21"/>
        </w:rPr>
      </w:pPr>
      <w:r>
        <w:rPr>
          <w:color w:val="000000"/>
          <w:kern w:val="0"/>
          <w:szCs w:val="21"/>
        </w:rPr>
        <w:t>中职毕业生或具有同等</w:t>
      </w:r>
      <w:r>
        <w:rPr>
          <w:rFonts w:hint="eastAsia"/>
          <w:color w:val="000000"/>
          <w:kern w:val="0"/>
          <w:szCs w:val="21"/>
          <w:lang w:val="en-US" w:eastAsia="zh-CN"/>
        </w:rPr>
        <w:t>学力</w:t>
      </w:r>
      <w:r>
        <w:rPr>
          <w:color w:val="000000"/>
          <w:kern w:val="0"/>
          <w:szCs w:val="21"/>
        </w:rPr>
        <w:t>者。</w:t>
      </w:r>
    </w:p>
    <w:p>
      <w:pPr>
        <w:spacing w:line="400" w:lineRule="exact"/>
        <w:ind w:firstLine="480" w:firstLineChars="200"/>
        <w:jc w:val="left"/>
        <w:outlineLvl w:val="1"/>
        <w:rPr>
          <w:rFonts w:hint="eastAsia" w:ascii="黑体" w:hAnsi="黑体" w:eastAsia="黑体" w:cs="黑体"/>
          <w:b w:val="0"/>
          <w:bCs w:val="0"/>
          <w:kern w:val="0"/>
          <w:sz w:val="24"/>
          <w:szCs w:val="24"/>
        </w:rPr>
      </w:pPr>
      <w:r>
        <w:rPr>
          <w:rFonts w:hint="eastAsia" w:ascii="黑体" w:hAnsi="黑体" w:eastAsia="黑体" w:cs="黑体"/>
          <w:b w:val="0"/>
          <w:bCs w:val="0"/>
          <w:kern w:val="0"/>
          <w:sz w:val="24"/>
          <w:szCs w:val="24"/>
        </w:rPr>
        <w:t>三、修业年限</w:t>
      </w:r>
    </w:p>
    <w:p>
      <w:pPr>
        <w:spacing w:line="400" w:lineRule="exact"/>
        <w:ind w:firstLine="420" w:firstLineChars="200"/>
        <w:jc w:val="left"/>
        <w:rPr>
          <w:kern w:val="0"/>
          <w:szCs w:val="21"/>
        </w:rPr>
      </w:pPr>
      <w:r>
        <w:rPr>
          <w:kern w:val="0"/>
          <w:szCs w:val="21"/>
        </w:rPr>
        <w:t>基本学制2年，学习年限2-4年，学分制。</w:t>
      </w:r>
    </w:p>
    <w:p>
      <w:pPr>
        <w:spacing w:line="400" w:lineRule="exact"/>
        <w:ind w:firstLine="480" w:firstLineChars="200"/>
        <w:jc w:val="left"/>
        <w:outlineLvl w:val="1"/>
        <w:rPr>
          <w:rFonts w:hint="eastAsia" w:ascii="黑体" w:hAnsi="黑体" w:eastAsia="黑体" w:cs="黑体"/>
          <w:b w:val="0"/>
          <w:bCs w:val="0"/>
          <w:kern w:val="0"/>
          <w:sz w:val="24"/>
          <w:szCs w:val="24"/>
        </w:rPr>
      </w:pPr>
      <w:r>
        <w:rPr>
          <w:rFonts w:hint="eastAsia" w:ascii="黑体" w:hAnsi="黑体" w:eastAsia="黑体" w:cs="黑体"/>
          <w:b w:val="0"/>
          <w:bCs w:val="0"/>
          <w:kern w:val="0"/>
          <w:sz w:val="24"/>
          <w:szCs w:val="24"/>
        </w:rPr>
        <w:t>四、职业面向</w:t>
      </w:r>
    </w:p>
    <w:p>
      <w:pPr>
        <w:spacing w:line="400" w:lineRule="exact"/>
        <w:ind w:firstLine="422" w:firstLineChars="200"/>
        <w:jc w:val="left"/>
        <w:rPr>
          <w:b/>
          <w:bCs/>
          <w:color w:val="000000"/>
          <w:kern w:val="0"/>
          <w:szCs w:val="21"/>
        </w:rPr>
      </w:pPr>
      <w:r>
        <w:rPr>
          <w:b/>
          <w:bCs/>
          <w:color w:val="000000"/>
          <w:kern w:val="0"/>
          <w:szCs w:val="21"/>
        </w:rPr>
        <w:t>（一）职业领域</w:t>
      </w:r>
    </w:p>
    <w:p>
      <w:pPr>
        <w:pStyle w:val="5"/>
        <w:keepNext/>
        <w:jc w:val="center"/>
        <w:rPr>
          <w:rFonts w:ascii="Times New Roman" w:hAnsi="Times New Roman"/>
          <w:b/>
          <w:bCs/>
          <w:color w:val="000000"/>
          <w:sz w:val="18"/>
          <w:szCs w:val="18"/>
        </w:rPr>
      </w:pPr>
      <w:bookmarkStart w:id="0" w:name="_Ref132097609"/>
      <w:r>
        <w:rPr>
          <w:rFonts w:ascii="Times New Roman" w:hAnsi="Times New Roman" w:eastAsia="宋体"/>
          <w:b/>
          <w:bCs/>
          <w:color w:val="000000"/>
          <w:sz w:val="18"/>
          <w:szCs w:val="18"/>
        </w:rPr>
        <w:t>表</w:t>
      </w:r>
      <w:r>
        <w:rPr>
          <w:rFonts w:ascii="Times New Roman" w:hAnsi="Times New Roman" w:eastAsia="宋体"/>
          <w:b/>
          <w:bCs/>
          <w:color w:val="000000"/>
          <w:sz w:val="18"/>
          <w:szCs w:val="18"/>
        </w:rPr>
        <w:fldChar w:fldCharType="begin"/>
      </w:r>
      <w:r>
        <w:rPr>
          <w:rFonts w:ascii="Times New Roman" w:hAnsi="Times New Roman" w:eastAsia="宋体"/>
          <w:b/>
          <w:bCs/>
          <w:color w:val="000000"/>
          <w:sz w:val="18"/>
          <w:szCs w:val="18"/>
        </w:rPr>
        <w:instrText xml:space="preserve"> SEQ 表 \* ARABIC </w:instrText>
      </w:r>
      <w:r>
        <w:rPr>
          <w:rFonts w:ascii="Times New Roman" w:hAnsi="Times New Roman" w:eastAsia="宋体"/>
          <w:b/>
          <w:bCs/>
          <w:color w:val="000000"/>
          <w:sz w:val="18"/>
          <w:szCs w:val="18"/>
        </w:rPr>
        <w:fldChar w:fldCharType="separate"/>
      </w:r>
      <w:r>
        <w:rPr>
          <w:rFonts w:ascii="Times New Roman" w:hAnsi="Times New Roman" w:eastAsia="宋体"/>
          <w:b/>
          <w:bCs/>
          <w:color w:val="000000"/>
          <w:sz w:val="18"/>
          <w:szCs w:val="18"/>
        </w:rPr>
        <w:t>1</w:t>
      </w:r>
      <w:r>
        <w:rPr>
          <w:rFonts w:ascii="Times New Roman" w:hAnsi="Times New Roman" w:eastAsia="宋体"/>
          <w:b/>
          <w:bCs/>
          <w:color w:val="000000"/>
          <w:sz w:val="18"/>
          <w:szCs w:val="18"/>
        </w:rPr>
        <w:fldChar w:fldCharType="end"/>
      </w:r>
      <w:bookmarkEnd w:id="0"/>
      <w:r>
        <w:rPr>
          <w:rFonts w:ascii="Times New Roman" w:hAnsi="Times New Roman" w:eastAsia="宋体"/>
          <w:b/>
          <w:bCs/>
          <w:color w:val="000000"/>
          <w:sz w:val="18"/>
          <w:szCs w:val="18"/>
        </w:rPr>
        <w:t>本专业职业面向</w:t>
      </w:r>
    </w:p>
    <w:tbl>
      <w:tblPr>
        <w:tblStyle w:val="13"/>
        <w:tblpPr w:leftFromText="180" w:rightFromText="180" w:vertAnchor="text" w:horzAnchor="margin" w:tblpXSpec="center" w:tblpY="67"/>
        <w:tblW w:w="0" w:type="auto"/>
        <w:jc w:val="center"/>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autofit"/>
        <w:tblCellMar>
          <w:top w:w="0" w:type="dxa"/>
          <w:left w:w="108" w:type="dxa"/>
          <w:bottom w:w="0" w:type="dxa"/>
          <w:right w:w="108" w:type="dxa"/>
        </w:tblCellMar>
      </w:tblPr>
      <w:tblGrid>
        <w:gridCol w:w="1416"/>
        <w:gridCol w:w="1111"/>
        <w:gridCol w:w="1090"/>
        <w:gridCol w:w="1146"/>
        <w:gridCol w:w="1693"/>
        <w:gridCol w:w="2066"/>
      </w:tblGrid>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665" w:hRule="exact"/>
          <w:jc w:val="center"/>
        </w:trPr>
        <w:tc>
          <w:tcPr>
            <w:tcW w:w="1504" w:type="dxa"/>
            <w:shd w:val="clear" w:color="auto" w:fill="F1F1F1" w:themeFill="background1" w:themeFillShade="F2"/>
            <w:vAlign w:val="center"/>
          </w:tcPr>
          <w:p>
            <w:pPr>
              <w:jc w:val="center"/>
              <w:rPr>
                <w:bCs/>
                <w:kern w:val="0"/>
                <w:sz w:val="18"/>
                <w:szCs w:val="18"/>
              </w:rPr>
            </w:pPr>
            <w:r>
              <w:rPr>
                <w:bCs/>
                <w:kern w:val="0"/>
                <w:sz w:val="18"/>
                <w:szCs w:val="18"/>
              </w:rPr>
              <w:t>所属专业大类（代码）</w:t>
            </w:r>
          </w:p>
        </w:tc>
        <w:tc>
          <w:tcPr>
            <w:tcW w:w="1134" w:type="dxa"/>
            <w:shd w:val="clear" w:color="auto" w:fill="F1F1F1" w:themeFill="background1" w:themeFillShade="F2"/>
            <w:vAlign w:val="center"/>
          </w:tcPr>
          <w:p>
            <w:pPr>
              <w:jc w:val="center"/>
              <w:rPr>
                <w:bCs/>
                <w:kern w:val="0"/>
                <w:sz w:val="18"/>
                <w:szCs w:val="18"/>
              </w:rPr>
            </w:pPr>
            <w:r>
              <w:rPr>
                <w:bCs/>
                <w:kern w:val="0"/>
                <w:sz w:val="18"/>
                <w:szCs w:val="18"/>
              </w:rPr>
              <w:t>所属专业类</w:t>
            </w:r>
          </w:p>
          <w:p>
            <w:pPr>
              <w:jc w:val="center"/>
              <w:rPr>
                <w:bCs/>
                <w:kern w:val="0"/>
                <w:sz w:val="18"/>
                <w:szCs w:val="18"/>
              </w:rPr>
            </w:pPr>
            <w:r>
              <w:rPr>
                <w:bCs/>
                <w:kern w:val="0"/>
                <w:sz w:val="18"/>
                <w:szCs w:val="18"/>
              </w:rPr>
              <w:t>（代码）</w:t>
            </w:r>
          </w:p>
        </w:tc>
        <w:tc>
          <w:tcPr>
            <w:tcW w:w="1134" w:type="dxa"/>
            <w:shd w:val="clear" w:color="auto" w:fill="F1F1F1" w:themeFill="background1" w:themeFillShade="F2"/>
            <w:vAlign w:val="center"/>
          </w:tcPr>
          <w:p>
            <w:pPr>
              <w:jc w:val="center"/>
              <w:rPr>
                <w:bCs/>
                <w:kern w:val="0"/>
                <w:sz w:val="18"/>
                <w:szCs w:val="18"/>
              </w:rPr>
            </w:pPr>
            <w:r>
              <w:rPr>
                <w:bCs/>
                <w:kern w:val="0"/>
                <w:sz w:val="18"/>
                <w:szCs w:val="18"/>
              </w:rPr>
              <w:t>对应行业（代码）</w:t>
            </w:r>
          </w:p>
        </w:tc>
        <w:tc>
          <w:tcPr>
            <w:tcW w:w="1134" w:type="dxa"/>
            <w:shd w:val="clear" w:color="auto" w:fill="F1F1F1" w:themeFill="background1" w:themeFillShade="F2"/>
            <w:vAlign w:val="center"/>
          </w:tcPr>
          <w:p>
            <w:pPr>
              <w:jc w:val="center"/>
              <w:rPr>
                <w:bCs/>
                <w:kern w:val="0"/>
                <w:sz w:val="18"/>
                <w:szCs w:val="18"/>
              </w:rPr>
            </w:pPr>
            <w:r>
              <w:rPr>
                <w:bCs/>
                <w:kern w:val="0"/>
                <w:sz w:val="18"/>
                <w:szCs w:val="18"/>
              </w:rPr>
              <w:t>主要职业类别（代码）</w:t>
            </w:r>
          </w:p>
        </w:tc>
        <w:tc>
          <w:tcPr>
            <w:tcW w:w="1842" w:type="dxa"/>
            <w:shd w:val="clear" w:color="auto" w:fill="F1F1F1" w:themeFill="background1" w:themeFillShade="F2"/>
            <w:vAlign w:val="center"/>
          </w:tcPr>
          <w:p>
            <w:pPr>
              <w:jc w:val="center"/>
              <w:rPr>
                <w:bCs/>
                <w:kern w:val="0"/>
                <w:sz w:val="18"/>
                <w:szCs w:val="18"/>
              </w:rPr>
            </w:pPr>
            <w:r>
              <w:rPr>
                <w:bCs/>
                <w:kern w:val="0"/>
                <w:sz w:val="18"/>
                <w:szCs w:val="18"/>
              </w:rPr>
              <w:t>主要岗位类别（或技术领域）</w:t>
            </w:r>
          </w:p>
        </w:tc>
        <w:tc>
          <w:tcPr>
            <w:tcW w:w="2270" w:type="dxa"/>
            <w:shd w:val="clear" w:color="auto" w:fill="F1F1F1" w:themeFill="background1" w:themeFillShade="F2"/>
            <w:vAlign w:val="center"/>
          </w:tcPr>
          <w:p>
            <w:pPr>
              <w:jc w:val="center"/>
              <w:rPr>
                <w:bCs/>
                <w:kern w:val="0"/>
                <w:sz w:val="18"/>
                <w:szCs w:val="18"/>
              </w:rPr>
            </w:pPr>
            <w:r>
              <w:rPr>
                <w:bCs/>
                <w:kern w:val="0"/>
                <w:sz w:val="18"/>
                <w:szCs w:val="18"/>
              </w:rPr>
              <w:t>职业资格证书或技能等级证书举例</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745" w:hRule="exact"/>
          <w:jc w:val="center"/>
        </w:trPr>
        <w:tc>
          <w:tcPr>
            <w:tcW w:w="1504" w:type="dxa"/>
            <w:vAlign w:val="center"/>
          </w:tcPr>
          <w:p>
            <w:pPr>
              <w:jc w:val="center"/>
              <w:rPr>
                <w:bCs/>
                <w:kern w:val="0"/>
                <w:sz w:val="18"/>
                <w:szCs w:val="18"/>
              </w:rPr>
            </w:pPr>
            <w:r>
              <w:rPr>
                <w:rFonts w:hint="eastAsia"/>
                <w:kern w:val="0"/>
                <w:sz w:val="18"/>
                <w:szCs w:val="18"/>
              </w:rPr>
              <w:t>财经商贸大类（53）</w:t>
            </w:r>
          </w:p>
        </w:tc>
        <w:tc>
          <w:tcPr>
            <w:tcW w:w="1134" w:type="dxa"/>
            <w:vAlign w:val="center"/>
          </w:tcPr>
          <w:p>
            <w:pPr>
              <w:jc w:val="center"/>
              <w:rPr>
                <w:bCs/>
                <w:kern w:val="0"/>
                <w:sz w:val="18"/>
                <w:szCs w:val="18"/>
              </w:rPr>
            </w:pPr>
            <w:r>
              <w:rPr>
                <w:rFonts w:hint="eastAsia"/>
                <w:kern w:val="0"/>
                <w:sz w:val="18"/>
                <w:szCs w:val="18"/>
              </w:rPr>
              <w:t>物流类（5308）</w:t>
            </w:r>
          </w:p>
        </w:tc>
        <w:tc>
          <w:tcPr>
            <w:tcW w:w="1134" w:type="dxa"/>
            <w:vAlign w:val="center"/>
          </w:tcPr>
          <w:p>
            <w:pPr>
              <w:jc w:val="center"/>
              <w:rPr>
                <w:kern w:val="0"/>
                <w:sz w:val="18"/>
                <w:szCs w:val="18"/>
              </w:rPr>
            </w:pPr>
            <w:r>
              <w:rPr>
                <w:rFonts w:hint="eastAsia"/>
                <w:kern w:val="0"/>
                <w:sz w:val="18"/>
                <w:szCs w:val="18"/>
              </w:rPr>
              <w:t>道路运输业（54）</w:t>
            </w:r>
          </w:p>
          <w:p>
            <w:pPr>
              <w:jc w:val="center"/>
              <w:rPr>
                <w:kern w:val="0"/>
                <w:sz w:val="18"/>
                <w:szCs w:val="18"/>
              </w:rPr>
            </w:pPr>
            <w:r>
              <w:rPr>
                <w:rFonts w:hint="eastAsia"/>
                <w:kern w:val="0"/>
                <w:sz w:val="18"/>
                <w:szCs w:val="18"/>
              </w:rPr>
              <w:t>多式联运和运输代理业（58）</w:t>
            </w:r>
          </w:p>
          <w:p>
            <w:pPr>
              <w:jc w:val="center"/>
              <w:rPr>
                <w:bCs/>
                <w:kern w:val="0"/>
                <w:sz w:val="18"/>
                <w:szCs w:val="18"/>
              </w:rPr>
            </w:pPr>
            <w:r>
              <w:rPr>
                <w:rFonts w:hint="eastAsia"/>
                <w:kern w:val="0"/>
                <w:sz w:val="18"/>
                <w:szCs w:val="18"/>
              </w:rPr>
              <w:t>装卸搬运和仓储业（59）</w:t>
            </w:r>
          </w:p>
        </w:tc>
        <w:tc>
          <w:tcPr>
            <w:tcW w:w="1134" w:type="dxa"/>
            <w:vAlign w:val="center"/>
          </w:tcPr>
          <w:p>
            <w:pPr>
              <w:jc w:val="center"/>
              <w:rPr>
                <w:kern w:val="0"/>
                <w:sz w:val="18"/>
                <w:szCs w:val="18"/>
              </w:rPr>
            </w:pPr>
            <w:r>
              <w:rPr>
                <w:rFonts w:hint="eastAsia"/>
                <w:kern w:val="0"/>
                <w:sz w:val="18"/>
                <w:szCs w:val="18"/>
              </w:rPr>
              <w:t>管理（工业）工程技术人员（2-02-34）</w:t>
            </w:r>
          </w:p>
          <w:p>
            <w:pPr>
              <w:jc w:val="center"/>
              <w:rPr>
                <w:kern w:val="0"/>
                <w:sz w:val="18"/>
                <w:szCs w:val="18"/>
              </w:rPr>
            </w:pPr>
            <w:r>
              <w:rPr>
                <w:rFonts w:hint="eastAsia"/>
                <w:kern w:val="0"/>
                <w:sz w:val="18"/>
                <w:szCs w:val="18"/>
              </w:rPr>
              <w:t>运输服务人员(4-05)</w:t>
            </w:r>
          </w:p>
          <w:p>
            <w:pPr>
              <w:jc w:val="center"/>
              <w:rPr>
                <w:kern w:val="0"/>
                <w:sz w:val="18"/>
                <w:szCs w:val="18"/>
              </w:rPr>
            </w:pPr>
            <w:r>
              <w:rPr>
                <w:rFonts w:hint="eastAsia"/>
                <w:kern w:val="0"/>
                <w:sz w:val="18"/>
                <w:szCs w:val="18"/>
              </w:rPr>
              <w:t>仓储人员（4-02）</w:t>
            </w:r>
          </w:p>
          <w:p>
            <w:pPr>
              <w:jc w:val="center"/>
              <w:rPr>
                <w:kern w:val="0"/>
                <w:sz w:val="18"/>
                <w:szCs w:val="18"/>
              </w:rPr>
            </w:pPr>
            <w:r>
              <w:rPr>
                <w:rFonts w:hint="eastAsia"/>
                <w:kern w:val="0"/>
                <w:sz w:val="18"/>
                <w:szCs w:val="18"/>
              </w:rPr>
              <w:t>采购人员（4-01-03）</w:t>
            </w:r>
          </w:p>
        </w:tc>
        <w:tc>
          <w:tcPr>
            <w:tcW w:w="1842" w:type="dxa"/>
            <w:vAlign w:val="center"/>
          </w:tcPr>
          <w:p>
            <w:pPr>
              <w:jc w:val="center"/>
              <w:rPr>
                <w:kern w:val="0"/>
                <w:sz w:val="18"/>
                <w:szCs w:val="18"/>
              </w:rPr>
            </w:pPr>
            <w:r>
              <w:rPr>
                <w:rFonts w:hint="eastAsia"/>
                <w:kern w:val="0"/>
                <w:sz w:val="18"/>
                <w:szCs w:val="18"/>
              </w:rPr>
              <w:t>仓储一线管理</w:t>
            </w:r>
          </w:p>
          <w:p>
            <w:pPr>
              <w:jc w:val="center"/>
              <w:rPr>
                <w:kern w:val="0"/>
                <w:sz w:val="18"/>
                <w:szCs w:val="18"/>
              </w:rPr>
            </w:pPr>
            <w:r>
              <w:rPr>
                <w:rFonts w:hint="eastAsia"/>
                <w:kern w:val="0"/>
                <w:sz w:val="18"/>
                <w:szCs w:val="18"/>
              </w:rPr>
              <w:t>运输一线管理</w:t>
            </w:r>
          </w:p>
          <w:p>
            <w:pPr>
              <w:jc w:val="center"/>
              <w:rPr>
                <w:kern w:val="0"/>
                <w:sz w:val="18"/>
                <w:szCs w:val="18"/>
              </w:rPr>
            </w:pPr>
            <w:r>
              <w:rPr>
                <w:rFonts w:hint="eastAsia"/>
                <w:kern w:val="0"/>
                <w:sz w:val="18"/>
                <w:szCs w:val="18"/>
              </w:rPr>
              <w:t>物流销售</w:t>
            </w:r>
          </w:p>
          <w:p>
            <w:pPr>
              <w:jc w:val="center"/>
              <w:rPr>
                <w:kern w:val="0"/>
                <w:sz w:val="18"/>
                <w:szCs w:val="18"/>
              </w:rPr>
            </w:pPr>
            <w:r>
              <w:rPr>
                <w:rFonts w:hint="eastAsia"/>
                <w:kern w:val="0"/>
                <w:sz w:val="18"/>
                <w:szCs w:val="18"/>
              </w:rPr>
              <w:t>物流客户服务</w:t>
            </w:r>
          </w:p>
          <w:p>
            <w:pPr>
              <w:jc w:val="center"/>
              <w:rPr>
                <w:kern w:val="0"/>
                <w:sz w:val="18"/>
                <w:szCs w:val="18"/>
              </w:rPr>
            </w:pPr>
            <w:r>
              <w:rPr>
                <w:rFonts w:hint="eastAsia"/>
                <w:kern w:val="0"/>
                <w:sz w:val="18"/>
                <w:szCs w:val="18"/>
              </w:rPr>
              <w:t>生产车间一线管理</w:t>
            </w:r>
          </w:p>
          <w:p>
            <w:pPr>
              <w:jc w:val="center"/>
              <w:rPr>
                <w:bCs/>
                <w:kern w:val="0"/>
                <w:sz w:val="18"/>
                <w:szCs w:val="18"/>
              </w:rPr>
            </w:pPr>
            <w:r>
              <w:rPr>
                <w:rFonts w:hint="eastAsia"/>
                <w:kern w:val="0"/>
                <w:sz w:val="18"/>
                <w:szCs w:val="18"/>
              </w:rPr>
              <w:t>采购员</w:t>
            </w:r>
          </w:p>
        </w:tc>
        <w:tc>
          <w:tcPr>
            <w:tcW w:w="2270" w:type="dxa"/>
            <w:vAlign w:val="center"/>
          </w:tcPr>
          <w:p>
            <w:pPr>
              <w:jc w:val="center"/>
              <w:rPr>
                <w:kern w:val="0"/>
                <w:sz w:val="18"/>
                <w:szCs w:val="18"/>
              </w:rPr>
            </w:pPr>
            <w:r>
              <w:rPr>
                <w:rFonts w:hint="eastAsia"/>
                <w:kern w:val="0"/>
                <w:sz w:val="18"/>
                <w:szCs w:val="18"/>
              </w:rPr>
              <w:t>现代物流管理1+X认证</w:t>
            </w:r>
          </w:p>
          <w:p>
            <w:pPr>
              <w:jc w:val="center"/>
              <w:rPr>
                <w:kern w:val="0"/>
                <w:sz w:val="18"/>
                <w:szCs w:val="18"/>
              </w:rPr>
            </w:pPr>
            <w:r>
              <w:rPr>
                <w:rFonts w:hint="eastAsia"/>
                <w:kern w:val="0"/>
                <w:sz w:val="18"/>
                <w:szCs w:val="18"/>
              </w:rPr>
              <w:t>叉车证</w:t>
            </w:r>
          </w:p>
          <w:p>
            <w:pPr>
              <w:jc w:val="center"/>
              <w:rPr>
                <w:bCs/>
                <w:kern w:val="0"/>
                <w:sz w:val="18"/>
                <w:szCs w:val="18"/>
              </w:rPr>
            </w:pPr>
            <w:r>
              <w:rPr>
                <w:rFonts w:hint="eastAsia"/>
                <w:kern w:val="0"/>
                <w:sz w:val="18"/>
                <w:szCs w:val="18"/>
              </w:rPr>
              <w:t>条码技术资格证书</w:t>
            </w:r>
          </w:p>
        </w:tc>
      </w:tr>
    </w:tbl>
    <w:p>
      <w:pPr>
        <w:spacing w:line="400" w:lineRule="exact"/>
        <w:ind w:firstLine="422" w:firstLineChars="200"/>
        <w:jc w:val="left"/>
        <w:rPr>
          <w:b/>
          <w:bCs/>
          <w:color w:val="000000"/>
          <w:kern w:val="0"/>
          <w:szCs w:val="21"/>
        </w:rPr>
      </w:pPr>
      <w:r>
        <w:rPr>
          <w:b/>
          <w:bCs/>
          <w:color w:val="000000"/>
          <w:kern w:val="0"/>
          <w:szCs w:val="21"/>
        </w:rPr>
        <w:t>（二）工作岗位</w:t>
      </w:r>
    </w:p>
    <w:p>
      <w:pPr>
        <w:pStyle w:val="5"/>
        <w:keepNext/>
        <w:jc w:val="center"/>
        <w:rPr>
          <w:rFonts w:ascii="Times New Roman" w:hAnsi="Times New Roman" w:eastAsia="宋体"/>
          <w:b/>
          <w:bCs/>
          <w:sz w:val="18"/>
          <w:szCs w:val="18"/>
        </w:rPr>
      </w:pPr>
      <w:r>
        <w:rPr>
          <w:rFonts w:ascii="Times New Roman" w:hAnsi="Times New Roman" w:eastAsia="宋体"/>
          <w:b/>
          <w:bCs/>
          <w:sz w:val="18"/>
          <w:szCs w:val="18"/>
        </w:rPr>
        <w:t>表</w:t>
      </w:r>
      <w:r>
        <w:rPr>
          <w:rFonts w:ascii="Times New Roman" w:hAnsi="Times New Roman" w:eastAsia="宋体"/>
          <w:b/>
          <w:bCs/>
          <w:sz w:val="18"/>
          <w:szCs w:val="18"/>
        </w:rPr>
        <w:fldChar w:fldCharType="begin"/>
      </w:r>
      <w:r>
        <w:rPr>
          <w:rFonts w:ascii="Times New Roman" w:hAnsi="Times New Roman" w:eastAsia="宋体"/>
          <w:b/>
          <w:bCs/>
          <w:sz w:val="18"/>
          <w:szCs w:val="18"/>
        </w:rPr>
        <w:instrText xml:space="preserve"> SEQ 表 \* ARABIC </w:instrText>
      </w:r>
      <w:r>
        <w:rPr>
          <w:rFonts w:ascii="Times New Roman" w:hAnsi="Times New Roman" w:eastAsia="宋体"/>
          <w:b/>
          <w:bCs/>
          <w:sz w:val="18"/>
          <w:szCs w:val="18"/>
        </w:rPr>
        <w:fldChar w:fldCharType="separate"/>
      </w:r>
      <w:r>
        <w:rPr>
          <w:rFonts w:ascii="Times New Roman" w:hAnsi="Times New Roman" w:eastAsia="宋体"/>
          <w:b/>
          <w:bCs/>
          <w:sz w:val="18"/>
          <w:szCs w:val="18"/>
        </w:rPr>
        <w:t>2</w:t>
      </w:r>
      <w:r>
        <w:rPr>
          <w:rFonts w:ascii="Times New Roman" w:hAnsi="Times New Roman" w:eastAsia="宋体"/>
          <w:b/>
          <w:bCs/>
          <w:sz w:val="18"/>
          <w:szCs w:val="18"/>
        </w:rPr>
        <w:fldChar w:fldCharType="end"/>
      </w:r>
      <w:r>
        <w:rPr>
          <w:rFonts w:ascii="Times New Roman" w:hAnsi="Times New Roman" w:eastAsia="宋体"/>
          <w:b/>
          <w:bCs/>
          <w:sz w:val="18"/>
          <w:szCs w:val="18"/>
        </w:rPr>
        <w:t>本专业工作岗位</w:t>
      </w:r>
    </w:p>
    <w:tbl>
      <w:tblPr>
        <w:tblStyle w:val="13"/>
        <w:tblW w:w="0" w:type="auto"/>
        <w:tblInd w:w="0" w:type="dxa"/>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autofit"/>
        <w:tblCellMar>
          <w:top w:w="0" w:type="dxa"/>
          <w:left w:w="108" w:type="dxa"/>
          <w:bottom w:w="0" w:type="dxa"/>
          <w:right w:w="108" w:type="dxa"/>
        </w:tblCellMar>
      </w:tblPr>
      <w:tblGrid>
        <w:gridCol w:w="631"/>
        <w:gridCol w:w="1869"/>
        <w:gridCol w:w="6022"/>
      </w:tblGrid>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631" w:type="dxa"/>
            <w:shd w:val="clear" w:color="auto" w:fill="F1F1F1" w:themeFill="background1" w:themeFillShade="F2"/>
          </w:tcPr>
          <w:p>
            <w:pPr>
              <w:jc w:val="center"/>
              <w:rPr>
                <w:kern w:val="0"/>
                <w:sz w:val="18"/>
                <w:szCs w:val="18"/>
              </w:rPr>
            </w:pPr>
            <w:r>
              <w:rPr>
                <w:kern w:val="0"/>
                <w:sz w:val="18"/>
                <w:szCs w:val="18"/>
              </w:rPr>
              <w:t>序号</w:t>
            </w:r>
          </w:p>
        </w:tc>
        <w:tc>
          <w:tcPr>
            <w:tcW w:w="1869" w:type="dxa"/>
            <w:shd w:val="clear" w:color="auto" w:fill="F1F1F1" w:themeFill="background1" w:themeFillShade="F2"/>
          </w:tcPr>
          <w:p>
            <w:pPr>
              <w:jc w:val="center"/>
              <w:rPr>
                <w:kern w:val="0"/>
                <w:sz w:val="18"/>
                <w:szCs w:val="18"/>
              </w:rPr>
            </w:pPr>
            <w:r>
              <w:rPr>
                <w:kern w:val="0"/>
                <w:sz w:val="18"/>
                <w:szCs w:val="18"/>
              </w:rPr>
              <w:t>岗位名称</w:t>
            </w:r>
          </w:p>
        </w:tc>
        <w:tc>
          <w:tcPr>
            <w:tcW w:w="6022" w:type="dxa"/>
            <w:shd w:val="clear" w:color="auto" w:fill="F1F1F1" w:themeFill="background1" w:themeFillShade="F2"/>
          </w:tcPr>
          <w:p>
            <w:pPr>
              <w:jc w:val="center"/>
              <w:rPr>
                <w:kern w:val="0"/>
                <w:sz w:val="18"/>
                <w:szCs w:val="18"/>
              </w:rPr>
            </w:pPr>
            <w:r>
              <w:rPr>
                <w:kern w:val="0"/>
                <w:sz w:val="18"/>
                <w:szCs w:val="18"/>
              </w:rPr>
              <w:t>描述</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631" w:type="dxa"/>
            <w:shd w:val="clear" w:color="auto" w:fill="auto"/>
            <w:vAlign w:val="center"/>
          </w:tcPr>
          <w:p>
            <w:pPr>
              <w:jc w:val="center"/>
              <w:rPr>
                <w:kern w:val="0"/>
                <w:sz w:val="18"/>
                <w:szCs w:val="18"/>
              </w:rPr>
            </w:pPr>
            <w:r>
              <w:rPr>
                <w:kern w:val="0"/>
                <w:sz w:val="18"/>
                <w:szCs w:val="18"/>
              </w:rPr>
              <w:t>1</w:t>
            </w:r>
          </w:p>
        </w:tc>
        <w:tc>
          <w:tcPr>
            <w:tcW w:w="1869" w:type="dxa"/>
            <w:shd w:val="clear" w:color="auto" w:fill="auto"/>
            <w:vAlign w:val="center"/>
          </w:tcPr>
          <w:p>
            <w:pPr>
              <w:jc w:val="center"/>
              <w:rPr>
                <w:kern w:val="0"/>
                <w:sz w:val="18"/>
                <w:szCs w:val="18"/>
              </w:rPr>
            </w:pPr>
            <w:r>
              <w:rPr>
                <w:rFonts w:hint="eastAsia"/>
                <w:kern w:val="0"/>
                <w:sz w:val="18"/>
                <w:szCs w:val="18"/>
              </w:rPr>
              <w:t>仓储现场作业员</w:t>
            </w:r>
          </w:p>
        </w:tc>
        <w:tc>
          <w:tcPr>
            <w:tcW w:w="6022" w:type="dxa"/>
            <w:shd w:val="clear" w:color="auto" w:fill="auto"/>
            <w:vAlign w:val="center"/>
          </w:tcPr>
          <w:p>
            <w:pPr>
              <w:jc w:val="left"/>
              <w:rPr>
                <w:kern w:val="0"/>
                <w:sz w:val="18"/>
                <w:szCs w:val="18"/>
              </w:rPr>
            </w:pPr>
            <w:r>
              <w:rPr>
                <w:rFonts w:hint="eastAsia"/>
                <w:kern w:val="0"/>
                <w:sz w:val="18"/>
                <w:szCs w:val="18"/>
              </w:rPr>
              <w:t>1.负责货物点数验货、扫描入库、上架作业；</w:t>
            </w:r>
          </w:p>
          <w:p>
            <w:pPr>
              <w:rPr>
                <w:sz w:val="18"/>
                <w:szCs w:val="18"/>
              </w:rPr>
            </w:pPr>
            <w:r>
              <w:rPr>
                <w:sz w:val="18"/>
                <w:szCs w:val="18"/>
              </w:rPr>
              <w:t>2.</w:t>
            </w:r>
            <w:r>
              <w:rPr>
                <w:rFonts w:hint="eastAsia"/>
                <w:sz w:val="18"/>
                <w:szCs w:val="18"/>
              </w:rPr>
              <w:t>根据出库要求，对货物进行拣选、分拣、扫描出库、包装等作业；</w:t>
            </w:r>
          </w:p>
          <w:p>
            <w:r>
              <w:rPr>
                <w:rFonts w:hint="eastAsia"/>
                <w:sz w:val="18"/>
                <w:szCs w:val="18"/>
              </w:rPr>
              <w:t>3</w:t>
            </w:r>
            <w:r>
              <w:rPr>
                <w:sz w:val="18"/>
                <w:szCs w:val="18"/>
              </w:rPr>
              <w:t>.</w:t>
            </w:r>
            <w:r>
              <w:rPr>
                <w:rFonts w:hint="eastAsia"/>
                <w:sz w:val="18"/>
                <w:szCs w:val="18"/>
              </w:rPr>
              <w:t>维护库内5S</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631" w:type="dxa"/>
            <w:shd w:val="clear" w:color="auto" w:fill="auto"/>
            <w:vAlign w:val="center"/>
          </w:tcPr>
          <w:p>
            <w:pPr>
              <w:jc w:val="center"/>
              <w:rPr>
                <w:kern w:val="0"/>
                <w:sz w:val="18"/>
                <w:szCs w:val="18"/>
              </w:rPr>
            </w:pPr>
            <w:r>
              <w:rPr>
                <w:kern w:val="0"/>
                <w:sz w:val="18"/>
                <w:szCs w:val="18"/>
              </w:rPr>
              <w:t>2</w:t>
            </w:r>
          </w:p>
        </w:tc>
        <w:tc>
          <w:tcPr>
            <w:tcW w:w="1869" w:type="dxa"/>
            <w:shd w:val="clear" w:color="auto" w:fill="auto"/>
            <w:vAlign w:val="center"/>
          </w:tcPr>
          <w:p>
            <w:pPr>
              <w:jc w:val="center"/>
              <w:rPr>
                <w:kern w:val="0"/>
                <w:sz w:val="18"/>
                <w:szCs w:val="18"/>
              </w:rPr>
            </w:pPr>
            <w:r>
              <w:rPr>
                <w:rFonts w:hint="eastAsia"/>
                <w:kern w:val="0"/>
                <w:sz w:val="18"/>
                <w:szCs w:val="18"/>
              </w:rPr>
              <w:t>运输调度员</w:t>
            </w:r>
          </w:p>
        </w:tc>
        <w:tc>
          <w:tcPr>
            <w:tcW w:w="6022" w:type="dxa"/>
            <w:shd w:val="clear" w:color="auto" w:fill="auto"/>
            <w:vAlign w:val="center"/>
          </w:tcPr>
          <w:p>
            <w:pPr>
              <w:jc w:val="left"/>
              <w:rPr>
                <w:kern w:val="0"/>
                <w:sz w:val="18"/>
                <w:szCs w:val="18"/>
              </w:rPr>
            </w:pPr>
            <w:r>
              <w:rPr>
                <w:rFonts w:hint="eastAsia"/>
                <w:kern w:val="0"/>
                <w:sz w:val="18"/>
                <w:szCs w:val="18"/>
              </w:rPr>
              <w:t>1.据订单计划，合理安排运力，完成各项配送指标；</w:t>
            </w:r>
          </w:p>
          <w:p>
            <w:pPr>
              <w:rPr>
                <w:sz w:val="18"/>
                <w:szCs w:val="18"/>
              </w:rPr>
            </w:pPr>
            <w:r>
              <w:rPr>
                <w:sz w:val="18"/>
                <w:szCs w:val="18"/>
              </w:rPr>
              <w:t>2.</w:t>
            </w:r>
            <w:r>
              <w:rPr>
                <w:rFonts w:hint="eastAsia"/>
                <w:sz w:val="18"/>
                <w:szCs w:val="18"/>
              </w:rPr>
              <w:t>管控发车和配送环节，提高车辆的满载率，降低运输成本；</w:t>
            </w:r>
          </w:p>
          <w:p>
            <w:r>
              <w:rPr>
                <w:rFonts w:hint="eastAsia"/>
                <w:sz w:val="18"/>
                <w:szCs w:val="18"/>
              </w:rPr>
              <w:t>3</w:t>
            </w:r>
            <w:r>
              <w:rPr>
                <w:sz w:val="18"/>
                <w:szCs w:val="18"/>
              </w:rPr>
              <w:t>.</w:t>
            </w:r>
            <w:r>
              <w:rPr>
                <w:rFonts w:hint="eastAsia"/>
                <w:sz w:val="18"/>
                <w:szCs w:val="18"/>
              </w:rPr>
              <w:t>退补换配送售后问题处理</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631" w:type="dxa"/>
            <w:shd w:val="clear" w:color="auto" w:fill="auto"/>
            <w:vAlign w:val="center"/>
          </w:tcPr>
          <w:p>
            <w:pPr>
              <w:jc w:val="center"/>
              <w:rPr>
                <w:kern w:val="0"/>
                <w:sz w:val="18"/>
                <w:szCs w:val="18"/>
              </w:rPr>
            </w:pPr>
            <w:r>
              <w:rPr>
                <w:kern w:val="0"/>
                <w:sz w:val="18"/>
                <w:szCs w:val="18"/>
              </w:rPr>
              <w:t>3</w:t>
            </w:r>
          </w:p>
        </w:tc>
        <w:tc>
          <w:tcPr>
            <w:tcW w:w="1869" w:type="dxa"/>
            <w:shd w:val="clear" w:color="auto" w:fill="auto"/>
            <w:vAlign w:val="center"/>
          </w:tcPr>
          <w:p>
            <w:pPr>
              <w:jc w:val="center"/>
              <w:rPr>
                <w:kern w:val="0"/>
                <w:sz w:val="18"/>
                <w:szCs w:val="18"/>
              </w:rPr>
            </w:pPr>
            <w:r>
              <w:rPr>
                <w:rFonts w:hint="eastAsia"/>
                <w:kern w:val="0"/>
                <w:sz w:val="18"/>
                <w:szCs w:val="18"/>
              </w:rPr>
              <w:t>配送作业员</w:t>
            </w:r>
          </w:p>
        </w:tc>
        <w:tc>
          <w:tcPr>
            <w:tcW w:w="6022" w:type="dxa"/>
            <w:shd w:val="clear" w:color="auto" w:fill="auto"/>
            <w:vAlign w:val="center"/>
          </w:tcPr>
          <w:p>
            <w:pPr>
              <w:jc w:val="left"/>
              <w:rPr>
                <w:kern w:val="0"/>
                <w:sz w:val="18"/>
                <w:szCs w:val="18"/>
              </w:rPr>
            </w:pPr>
            <w:r>
              <w:rPr>
                <w:rFonts w:hint="eastAsia"/>
                <w:kern w:val="0"/>
                <w:sz w:val="18"/>
                <w:szCs w:val="18"/>
              </w:rPr>
              <w:t>1.完成配送计划的制定；</w:t>
            </w:r>
          </w:p>
          <w:p>
            <w:pPr>
              <w:jc w:val="left"/>
              <w:rPr>
                <w:kern w:val="0"/>
                <w:sz w:val="18"/>
                <w:szCs w:val="18"/>
              </w:rPr>
            </w:pPr>
            <w:r>
              <w:rPr>
                <w:rFonts w:hint="eastAsia"/>
                <w:kern w:val="0"/>
                <w:sz w:val="18"/>
                <w:szCs w:val="18"/>
              </w:rPr>
              <w:t>2</w:t>
            </w:r>
            <w:r>
              <w:rPr>
                <w:kern w:val="0"/>
                <w:sz w:val="18"/>
                <w:szCs w:val="18"/>
              </w:rPr>
              <w:t>.</w:t>
            </w:r>
            <w:r>
              <w:rPr>
                <w:rFonts w:hint="eastAsia"/>
                <w:kern w:val="0"/>
                <w:sz w:val="18"/>
                <w:szCs w:val="18"/>
              </w:rPr>
              <w:t>进行配送作业的执行；</w:t>
            </w:r>
          </w:p>
          <w:p>
            <w:pPr>
              <w:jc w:val="left"/>
            </w:pPr>
            <w:r>
              <w:rPr>
                <w:rFonts w:hint="eastAsia"/>
                <w:kern w:val="0"/>
                <w:sz w:val="18"/>
                <w:szCs w:val="18"/>
              </w:rPr>
              <w:t>3</w:t>
            </w:r>
            <w:r>
              <w:rPr>
                <w:kern w:val="0"/>
                <w:sz w:val="18"/>
                <w:szCs w:val="18"/>
              </w:rPr>
              <w:t>.</w:t>
            </w:r>
            <w:r>
              <w:rPr>
                <w:rFonts w:hint="eastAsia"/>
                <w:kern w:val="0"/>
                <w:sz w:val="18"/>
                <w:szCs w:val="18"/>
              </w:rPr>
              <w:t>辅助配送中心规划</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631" w:type="dxa"/>
            <w:shd w:val="clear" w:color="auto" w:fill="auto"/>
            <w:vAlign w:val="center"/>
          </w:tcPr>
          <w:p>
            <w:pPr>
              <w:jc w:val="center"/>
              <w:rPr>
                <w:kern w:val="0"/>
                <w:sz w:val="18"/>
                <w:szCs w:val="18"/>
              </w:rPr>
            </w:pPr>
            <w:r>
              <w:rPr>
                <w:rFonts w:hint="eastAsia"/>
                <w:kern w:val="0"/>
                <w:sz w:val="18"/>
                <w:szCs w:val="18"/>
              </w:rPr>
              <w:t>4</w:t>
            </w:r>
          </w:p>
        </w:tc>
        <w:tc>
          <w:tcPr>
            <w:tcW w:w="1869" w:type="dxa"/>
            <w:shd w:val="clear" w:color="auto" w:fill="auto"/>
            <w:vAlign w:val="center"/>
          </w:tcPr>
          <w:p>
            <w:pPr>
              <w:jc w:val="center"/>
              <w:rPr>
                <w:kern w:val="0"/>
                <w:sz w:val="18"/>
                <w:szCs w:val="18"/>
              </w:rPr>
            </w:pPr>
            <w:r>
              <w:rPr>
                <w:rFonts w:hint="eastAsia"/>
                <w:kern w:val="0"/>
                <w:sz w:val="18"/>
                <w:szCs w:val="18"/>
              </w:rPr>
              <w:t>生产作业管理员</w:t>
            </w:r>
          </w:p>
        </w:tc>
        <w:tc>
          <w:tcPr>
            <w:tcW w:w="6022" w:type="dxa"/>
            <w:shd w:val="clear" w:color="auto" w:fill="auto"/>
            <w:vAlign w:val="center"/>
          </w:tcPr>
          <w:p>
            <w:pPr>
              <w:jc w:val="left"/>
              <w:rPr>
                <w:kern w:val="0"/>
                <w:sz w:val="18"/>
                <w:szCs w:val="18"/>
              </w:rPr>
            </w:pPr>
            <w:r>
              <w:rPr>
                <w:rFonts w:hint="eastAsia"/>
                <w:kern w:val="0"/>
                <w:sz w:val="18"/>
                <w:szCs w:val="18"/>
              </w:rPr>
              <w:t>1</w:t>
            </w:r>
            <w:r>
              <w:rPr>
                <w:kern w:val="0"/>
                <w:sz w:val="18"/>
                <w:szCs w:val="18"/>
              </w:rPr>
              <w:t>.</w:t>
            </w:r>
            <w:r>
              <w:rPr>
                <w:rFonts w:hint="eastAsia"/>
                <w:kern w:val="0"/>
                <w:sz w:val="18"/>
                <w:szCs w:val="18"/>
              </w:rPr>
              <w:t>能够进行工厂设施选址；</w:t>
            </w:r>
          </w:p>
          <w:p>
            <w:pPr>
              <w:jc w:val="left"/>
              <w:rPr>
                <w:kern w:val="0"/>
                <w:sz w:val="18"/>
                <w:szCs w:val="18"/>
              </w:rPr>
            </w:pPr>
            <w:r>
              <w:rPr>
                <w:kern w:val="0"/>
                <w:sz w:val="18"/>
                <w:szCs w:val="18"/>
              </w:rPr>
              <w:t>2.</w:t>
            </w:r>
            <w:r>
              <w:rPr>
                <w:rFonts w:hint="eastAsia"/>
                <w:kern w:val="0"/>
                <w:sz w:val="18"/>
                <w:szCs w:val="18"/>
              </w:rPr>
              <w:t>对工厂总平面布置和车间平面布置；</w:t>
            </w:r>
          </w:p>
          <w:p>
            <w:pPr>
              <w:jc w:val="left"/>
              <w:rPr>
                <w:kern w:val="0"/>
                <w:sz w:val="18"/>
                <w:szCs w:val="18"/>
              </w:rPr>
            </w:pPr>
            <w:r>
              <w:rPr>
                <w:kern w:val="0"/>
                <w:sz w:val="18"/>
                <w:szCs w:val="18"/>
              </w:rPr>
              <w:t>3.</w:t>
            </w:r>
            <w:r>
              <w:rPr>
                <w:rFonts w:hint="eastAsia"/>
                <w:kern w:val="0"/>
                <w:sz w:val="18"/>
                <w:szCs w:val="18"/>
              </w:rPr>
              <w:t>能够制定生产计划并进行实施；</w:t>
            </w:r>
          </w:p>
          <w:p>
            <w:pPr>
              <w:jc w:val="left"/>
            </w:pPr>
            <w:r>
              <w:rPr>
                <w:rFonts w:hint="eastAsia"/>
                <w:kern w:val="0"/>
                <w:sz w:val="18"/>
                <w:szCs w:val="18"/>
              </w:rPr>
              <w:t>4</w:t>
            </w:r>
            <w:r>
              <w:rPr>
                <w:kern w:val="0"/>
                <w:sz w:val="18"/>
                <w:szCs w:val="18"/>
              </w:rPr>
              <w:t>.</w:t>
            </w:r>
            <w:r>
              <w:rPr>
                <w:rFonts w:hint="eastAsia"/>
                <w:kern w:val="0"/>
                <w:sz w:val="18"/>
                <w:szCs w:val="18"/>
              </w:rPr>
              <w:t>能利用QC七大手法对产品质量进行数据分析</w:t>
            </w:r>
          </w:p>
        </w:tc>
      </w:tr>
    </w:tbl>
    <w:p>
      <w:pPr>
        <w:spacing w:line="400" w:lineRule="exact"/>
        <w:ind w:firstLine="422" w:firstLineChars="200"/>
        <w:jc w:val="left"/>
        <w:rPr>
          <w:b/>
          <w:bCs/>
          <w:color w:val="000000"/>
          <w:kern w:val="0"/>
          <w:szCs w:val="21"/>
        </w:rPr>
      </w:pPr>
      <w:r>
        <w:rPr>
          <w:b/>
          <w:bCs/>
          <w:color w:val="000000"/>
          <w:kern w:val="0"/>
          <w:szCs w:val="21"/>
        </w:rPr>
        <w:t>（三）</w:t>
      </w:r>
      <w:bookmarkStart w:id="1" w:name="_Hlk132978461"/>
      <w:r>
        <w:rPr>
          <w:b/>
          <w:bCs/>
          <w:color w:val="000000"/>
          <w:kern w:val="0"/>
          <w:szCs w:val="21"/>
        </w:rPr>
        <w:t>工作岗位与职业能力分析表</w:t>
      </w:r>
      <w:bookmarkEnd w:id="1"/>
    </w:p>
    <w:p>
      <w:pPr>
        <w:pStyle w:val="5"/>
        <w:keepNext/>
        <w:jc w:val="center"/>
        <w:rPr>
          <w:rFonts w:ascii="Times New Roman" w:hAnsi="Times New Roman" w:eastAsia="宋体"/>
          <w:b/>
          <w:bCs/>
          <w:sz w:val="18"/>
          <w:szCs w:val="18"/>
        </w:rPr>
      </w:pPr>
      <w:r>
        <w:rPr>
          <w:rFonts w:ascii="Times New Roman" w:hAnsi="Times New Roman" w:eastAsia="宋体"/>
          <w:b/>
          <w:bCs/>
          <w:sz w:val="18"/>
          <w:szCs w:val="18"/>
        </w:rPr>
        <w:t>表</w:t>
      </w:r>
      <w:r>
        <w:rPr>
          <w:rFonts w:ascii="Times New Roman" w:hAnsi="Times New Roman" w:eastAsia="宋体"/>
          <w:b/>
          <w:bCs/>
          <w:sz w:val="18"/>
          <w:szCs w:val="18"/>
        </w:rPr>
        <w:fldChar w:fldCharType="begin"/>
      </w:r>
      <w:r>
        <w:rPr>
          <w:rFonts w:ascii="Times New Roman" w:hAnsi="Times New Roman" w:eastAsia="宋体"/>
          <w:b/>
          <w:bCs/>
          <w:sz w:val="18"/>
          <w:szCs w:val="18"/>
        </w:rPr>
        <w:instrText xml:space="preserve"> SEQ 表 \* ARABIC </w:instrText>
      </w:r>
      <w:r>
        <w:rPr>
          <w:rFonts w:ascii="Times New Roman" w:hAnsi="Times New Roman" w:eastAsia="宋体"/>
          <w:b/>
          <w:bCs/>
          <w:sz w:val="18"/>
          <w:szCs w:val="18"/>
        </w:rPr>
        <w:fldChar w:fldCharType="separate"/>
      </w:r>
      <w:r>
        <w:rPr>
          <w:rFonts w:ascii="Times New Roman" w:hAnsi="Times New Roman" w:eastAsia="宋体"/>
          <w:b/>
          <w:bCs/>
          <w:sz w:val="18"/>
          <w:szCs w:val="18"/>
        </w:rPr>
        <w:t>3</w:t>
      </w:r>
      <w:r>
        <w:rPr>
          <w:rFonts w:ascii="Times New Roman" w:hAnsi="Times New Roman" w:eastAsia="宋体"/>
          <w:b/>
          <w:bCs/>
          <w:sz w:val="18"/>
          <w:szCs w:val="18"/>
        </w:rPr>
        <w:fldChar w:fldCharType="end"/>
      </w:r>
      <w:r>
        <w:rPr>
          <w:rFonts w:ascii="Times New Roman" w:hAnsi="Times New Roman" w:eastAsia="宋体"/>
          <w:b/>
          <w:bCs/>
          <w:sz w:val="18"/>
          <w:szCs w:val="18"/>
        </w:rPr>
        <w:t>工作岗位与职业能力分析表</w:t>
      </w:r>
    </w:p>
    <w:tbl>
      <w:tblPr>
        <w:tblStyle w:val="13"/>
        <w:tblW w:w="9478" w:type="dxa"/>
        <w:tblInd w:w="-314" w:type="dxa"/>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autofit"/>
        <w:tblCellMar>
          <w:top w:w="0" w:type="dxa"/>
          <w:left w:w="108" w:type="dxa"/>
          <w:bottom w:w="0" w:type="dxa"/>
          <w:right w:w="108" w:type="dxa"/>
        </w:tblCellMar>
      </w:tblPr>
      <w:tblGrid>
        <w:gridCol w:w="605"/>
        <w:gridCol w:w="982"/>
        <w:gridCol w:w="1550"/>
        <w:gridCol w:w="4718"/>
        <w:gridCol w:w="1623"/>
      </w:tblGrid>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605" w:type="dxa"/>
            <w:shd w:val="clear" w:color="auto" w:fill="F1F1F1" w:themeFill="background1" w:themeFillShade="F2"/>
          </w:tcPr>
          <w:p>
            <w:pPr>
              <w:jc w:val="center"/>
              <w:rPr>
                <w:kern w:val="0"/>
                <w:sz w:val="18"/>
                <w:szCs w:val="18"/>
              </w:rPr>
            </w:pPr>
            <w:r>
              <w:rPr>
                <w:kern w:val="0"/>
                <w:sz w:val="18"/>
                <w:szCs w:val="18"/>
              </w:rPr>
              <w:t>序号</w:t>
            </w:r>
          </w:p>
        </w:tc>
        <w:tc>
          <w:tcPr>
            <w:tcW w:w="982" w:type="dxa"/>
            <w:shd w:val="clear" w:color="auto" w:fill="F1F1F1" w:themeFill="background1" w:themeFillShade="F2"/>
          </w:tcPr>
          <w:p>
            <w:pPr>
              <w:jc w:val="center"/>
              <w:rPr>
                <w:kern w:val="0"/>
                <w:sz w:val="18"/>
                <w:szCs w:val="18"/>
              </w:rPr>
            </w:pPr>
            <w:r>
              <w:rPr>
                <w:kern w:val="0"/>
                <w:sz w:val="18"/>
                <w:szCs w:val="18"/>
              </w:rPr>
              <w:t>工作岗位</w:t>
            </w:r>
          </w:p>
        </w:tc>
        <w:tc>
          <w:tcPr>
            <w:tcW w:w="1550" w:type="dxa"/>
            <w:shd w:val="clear" w:color="auto" w:fill="F1F1F1" w:themeFill="background1" w:themeFillShade="F2"/>
          </w:tcPr>
          <w:p>
            <w:pPr>
              <w:jc w:val="center"/>
              <w:rPr>
                <w:kern w:val="0"/>
                <w:sz w:val="18"/>
                <w:szCs w:val="18"/>
              </w:rPr>
            </w:pPr>
            <w:r>
              <w:rPr>
                <w:kern w:val="0"/>
                <w:sz w:val="18"/>
                <w:szCs w:val="18"/>
              </w:rPr>
              <w:t>工作任务</w:t>
            </w:r>
          </w:p>
        </w:tc>
        <w:tc>
          <w:tcPr>
            <w:tcW w:w="4718" w:type="dxa"/>
            <w:shd w:val="clear" w:color="auto" w:fill="F1F1F1" w:themeFill="background1" w:themeFillShade="F2"/>
          </w:tcPr>
          <w:p>
            <w:pPr>
              <w:jc w:val="center"/>
              <w:rPr>
                <w:kern w:val="0"/>
                <w:sz w:val="18"/>
                <w:szCs w:val="18"/>
              </w:rPr>
            </w:pPr>
            <w:r>
              <w:rPr>
                <w:kern w:val="0"/>
                <w:sz w:val="18"/>
                <w:szCs w:val="18"/>
              </w:rPr>
              <w:t>职业能力</w:t>
            </w:r>
          </w:p>
        </w:tc>
        <w:tc>
          <w:tcPr>
            <w:tcW w:w="1623" w:type="dxa"/>
            <w:shd w:val="clear" w:color="auto" w:fill="F1F1F1" w:themeFill="background1" w:themeFillShade="F2"/>
          </w:tcPr>
          <w:p>
            <w:pPr>
              <w:jc w:val="center"/>
              <w:rPr>
                <w:kern w:val="0"/>
                <w:sz w:val="18"/>
                <w:szCs w:val="18"/>
              </w:rPr>
            </w:pPr>
            <w:r>
              <w:rPr>
                <w:kern w:val="0"/>
                <w:sz w:val="18"/>
                <w:szCs w:val="18"/>
              </w:rPr>
              <w:t>相关课程</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605" w:type="dxa"/>
            <w:shd w:val="clear" w:color="auto" w:fill="auto"/>
            <w:vAlign w:val="center"/>
          </w:tcPr>
          <w:p>
            <w:pPr>
              <w:jc w:val="center"/>
              <w:rPr>
                <w:kern w:val="0"/>
                <w:sz w:val="18"/>
                <w:szCs w:val="18"/>
              </w:rPr>
            </w:pPr>
            <w:r>
              <w:rPr>
                <w:kern w:val="0"/>
                <w:sz w:val="18"/>
                <w:szCs w:val="18"/>
              </w:rPr>
              <w:t>1</w:t>
            </w:r>
          </w:p>
        </w:tc>
        <w:tc>
          <w:tcPr>
            <w:tcW w:w="982" w:type="dxa"/>
            <w:shd w:val="clear" w:color="auto" w:fill="auto"/>
            <w:vAlign w:val="center"/>
          </w:tcPr>
          <w:p>
            <w:pPr>
              <w:jc w:val="center"/>
              <w:rPr>
                <w:kern w:val="0"/>
                <w:sz w:val="18"/>
                <w:szCs w:val="18"/>
              </w:rPr>
            </w:pPr>
            <w:r>
              <w:rPr>
                <w:rFonts w:hint="eastAsia"/>
                <w:kern w:val="0"/>
                <w:sz w:val="18"/>
                <w:szCs w:val="18"/>
              </w:rPr>
              <w:t>仓储现场作业员</w:t>
            </w:r>
          </w:p>
        </w:tc>
        <w:tc>
          <w:tcPr>
            <w:tcW w:w="1550" w:type="dxa"/>
            <w:shd w:val="clear" w:color="auto" w:fill="auto"/>
            <w:vAlign w:val="center"/>
          </w:tcPr>
          <w:p>
            <w:pPr>
              <w:keepNext w:val="0"/>
              <w:keepLines w:val="0"/>
              <w:pageBreakBefore w:val="0"/>
              <w:widowControl w:val="0"/>
              <w:numPr>
                <w:ilvl w:val="0"/>
                <w:numId w:val="1"/>
              </w:numPr>
              <w:kinsoku/>
              <w:wordWrap/>
              <w:overflowPunct/>
              <w:topLinePunct w:val="0"/>
              <w:autoSpaceDE/>
              <w:autoSpaceDN/>
              <w:bidi w:val="0"/>
              <w:adjustRightInd/>
              <w:snapToGrid/>
              <w:ind w:left="283" w:hanging="283"/>
              <w:jc w:val="both"/>
              <w:textAlignment w:val="auto"/>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货物验收</w:t>
            </w:r>
          </w:p>
          <w:p>
            <w:pPr>
              <w:keepNext w:val="0"/>
              <w:keepLines w:val="0"/>
              <w:pageBreakBefore w:val="0"/>
              <w:widowControl w:val="0"/>
              <w:numPr>
                <w:ilvl w:val="0"/>
                <w:numId w:val="1"/>
              </w:numPr>
              <w:kinsoku/>
              <w:wordWrap/>
              <w:overflowPunct/>
              <w:topLinePunct w:val="0"/>
              <w:autoSpaceDE/>
              <w:autoSpaceDN/>
              <w:bidi w:val="0"/>
              <w:adjustRightInd/>
              <w:snapToGrid/>
              <w:ind w:left="283" w:hanging="283"/>
              <w:jc w:val="both"/>
              <w:textAlignment w:val="auto"/>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货物入库</w:t>
            </w:r>
          </w:p>
          <w:p>
            <w:pPr>
              <w:keepNext w:val="0"/>
              <w:keepLines w:val="0"/>
              <w:pageBreakBefore w:val="0"/>
              <w:widowControl w:val="0"/>
              <w:numPr>
                <w:ilvl w:val="0"/>
                <w:numId w:val="1"/>
              </w:numPr>
              <w:kinsoku/>
              <w:wordWrap/>
              <w:overflowPunct/>
              <w:topLinePunct w:val="0"/>
              <w:autoSpaceDE/>
              <w:autoSpaceDN/>
              <w:bidi w:val="0"/>
              <w:adjustRightInd/>
              <w:snapToGrid/>
              <w:ind w:left="283" w:hanging="283"/>
              <w:jc w:val="both"/>
              <w:textAlignment w:val="auto"/>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货物堆码</w:t>
            </w:r>
          </w:p>
          <w:p>
            <w:pPr>
              <w:keepNext w:val="0"/>
              <w:keepLines w:val="0"/>
              <w:pageBreakBefore w:val="0"/>
              <w:widowControl w:val="0"/>
              <w:numPr>
                <w:ilvl w:val="0"/>
                <w:numId w:val="1"/>
              </w:numPr>
              <w:kinsoku/>
              <w:wordWrap/>
              <w:overflowPunct/>
              <w:topLinePunct w:val="0"/>
              <w:autoSpaceDE/>
              <w:autoSpaceDN/>
              <w:bidi w:val="0"/>
              <w:adjustRightInd/>
              <w:snapToGrid/>
              <w:ind w:left="283" w:hanging="283"/>
              <w:jc w:val="both"/>
              <w:textAlignment w:val="auto"/>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货物分拣</w:t>
            </w:r>
          </w:p>
          <w:p>
            <w:pPr>
              <w:keepNext w:val="0"/>
              <w:keepLines w:val="0"/>
              <w:pageBreakBefore w:val="0"/>
              <w:widowControl w:val="0"/>
              <w:numPr>
                <w:ilvl w:val="0"/>
                <w:numId w:val="1"/>
              </w:numPr>
              <w:kinsoku/>
              <w:wordWrap/>
              <w:overflowPunct/>
              <w:topLinePunct w:val="0"/>
              <w:autoSpaceDE/>
              <w:autoSpaceDN/>
              <w:bidi w:val="0"/>
              <w:adjustRightInd/>
              <w:snapToGrid/>
              <w:ind w:left="283" w:hanging="283"/>
              <w:jc w:val="both"/>
              <w:textAlignment w:val="auto"/>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货物打包</w:t>
            </w:r>
          </w:p>
          <w:p>
            <w:pPr>
              <w:keepNext w:val="0"/>
              <w:keepLines w:val="0"/>
              <w:pageBreakBefore w:val="0"/>
              <w:widowControl w:val="0"/>
              <w:numPr>
                <w:ilvl w:val="0"/>
                <w:numId w:val="1"/>
              </w:numPr>
              <w:kinsoku/>
              <w:wordWrap/>
              <w:overflowPunct/>
              <w:topLinePunct w:val="0"/>
              <w:autoSpaceDE/>
              <w:autoSpaceDN/>
              <w:bidi w:val="0"/>
              <w:adjustRightInd/>
              <w:snapToGrid/>
              <w:ind w:left="283" w:hanging="283"/>
              <w:jc w:val="both"/>
              <w:textAlignment w:val="auto"/>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货物盘点</w:t>
            </w:r>
          </w:p>
          <w:p>
            <w:pPr>
              <w:keepNext w:val="0"/>
              <w:keepLines w:val="0"/>
              <w:pageBreakBefore w:val="0"/>
              <w:widowControl w:val="0"/>
              <w:numPr>
                <w:ilvl w:val="0"/>
                <w:numId w:val="1"/>
              </w:numPr>
              <w:kinsoku/>
              <w:wordWrap/>
              <w:overflowPunct/>
              <w:topLinePunct w:val="0"/>
              <w:autoSpaceDE/>
              <w:autoSpaceDN/>
              <w:bidi w:val="0"/>
              <w:adjustRightInd/>
              <w:snapToGrid/>
              <w:ind w:left="283" w:hanging="283"/>
              <w:jc w:val="both"/>
              <w:textAlignment w:val="auto"/>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货物出库</w:t>
            </w:r>
          </w:p>
        </w:tc>
        <w:tc>
          <w:tcPr>
            <w:tcW w:w="4718" w:type="dxa"/>
            <w:shd w:val="clear" w:color="auto" w:fill="auto"/>
            <w:vAlign w:val="center"/>
          </w:tcPr>
          <w:p>
            <w:pPr>
              <w:keepNext w:val="0"/>
              <w:keepLines w:val="0"/>
              <w:pageBreakBefore w:val="0"/>
              <w:widowControl w:val="0"/>
              <w:numPr>
                <w:ilvl w:val="0"/>
                <w:numId w:val="2"/>
              </w:numPr>
              <w:kinsoku/>
              <w:wordWrap/>
              <w:overflowPunct/>
              <w:topLinePunct w:val="0"/>
              <w:autoSpaceDE/>
              <w:autoSpaceDN/>
              <w:bidi w:val="0"/>
              <w:adjustRightInd/>
              <w:snapToGrid/>
              <w:ind w:left="283" w:hanging="283"/>
              <w:jc w:val="left"/>
              <w:textAlignment w:val="auto"/>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能使用磅秤等常见的验收工具进行货物验收</w:t>
            </w:r>
          </w:p>
          <w:p>
            <w:pPr>
              <w:keepNext w:val="0"/>
              <w:keepLines w:val="0"/>
              <w:pageBreakBefore w:val="0"/>
              <w:widowControl w:val="0"/>
              <w:numPr>
                <w:ilvl w:val="0"/>
                <w:numId w:val="2"/>
              </w:numPr>
              <w:kinsoku/>
              <w:wordWrap/>
              <w:overflowPunct/>
              <w:topLinePunct w:val="0"/>
              <w:autoSpaceDE/>
              <w:autoSpaceDN/>
              <w:bidi w:val="0"/>
              <w:adjustRightInd/>
              <w:snapToGrid/>
              <w:ind w:left="283" w:hanging="283"/>
              <w:jc w:val="left"/>
              <w:textAlignment w:val="auto"/>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能正确处理验收中所发现的各类问题</w:t>
            </w:r>
          </w:p>
          <w:p>
            <w:pPr>
              <w:keepNext w:val="0"/>
              <w:keepLines w:val="0"/>
              <w:pageBreakBefore w:val="0"/>
              <w:widowControl w:val="0"/>
              <w:numPr>
                <w:ilvl w:val="0"/>
                <w:numId w:val="2"/>
              </w:numPr>
              <w:kinsoku/>
              <w:wordWrap/>
              <w:overflowPunct/>
              <w:topLinePunct w:val="0"/>
              <w:autoSpaceDE/>
              <w:autoSpaceDN/>
              <w:bidi w:val="0"/>
              <w:adjustRightInd/>
              <w:snapToGrid/>
              <w:ind w:left="283" w:hanging="283"/>
              <w:jc w:val="left"/>
              <w:textAlignment w:val="auto"/>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能正确处理入库单据</w:t>
            </w:r>
          </w:p>
          <w:p>
            <w:pPr>
              <w:keepNext w:val="0"/>
              <w:keepLines w:val="0"/>
              <w:pageBreakBefore w:val="0"/>
              <w:widowControl w:val="0"/>
              <w:numPr>
                <w:ilvl w:val="0"/>
                <w:numId w:val="2"/>
              </w:numPr>
              <w:kinsoku/>
              <w:wordWrap/>
              <w:overflowPunct/>
              <w:topLinePunct w:val="0"/>
              <w:autoSpaceDE/>
              <w:autoSpaceDN/>
              <w:bidi w:val="0"/>
              <w:adjustRightInd/>
              <w:snapToGrid/>
              <w:ind w:left="283" w:hanging="283"/>
              <w:jc w:val="left"/>
              <w:textAlignment w:val="auto"/>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能操作自动入库设备进行货物入库，或自行将货物放在正确的货位（货物条码、托盘条码、货位条码需要一致）</w:t>
            </w:r>
          </w:p>
          <w:p>
            <w:pPr>
              <w:keepNext w:val="0"/>
              <w:keepLines w:val="0"/>
              <w:pageBreakBefore w:val="0"/>
              <w:widowControl w:val="0"/>
              <w:numPr>
                <w:ilvl w:val="0"/>
                <w:numId w:val="2"/>
              </w:numPr>
              <w:kinsoku/>
              <w:wordWrap/>
              <w:overflowPunct/>
              <w:topLinePunct w:val="0"/>
              <w:autoSpaceDE/>
              <w:autoSpaceDN/>
              <w:bidi w:val="0"/>
              <w:adjustRightInd/>
              <w:snapToGrid/>
              <w:ind w:left="283" w:hanging="283"/>
              <w:jc w:val="left"/>
              <w:textAlignment w:val="auto"/>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能按照大不压小、重不压轻、重心稳固等货物堆码的基本原则进行货物堆码</w:t>
            </w:r>
          </w:p>
          <w:p>
            <w:pPr>
              <w:keepNext w:val="0"/>
              <w:keepLines w:val="0"/>
              <w:pageBreakBefore w:val="0"/>
              <w:widowControl w:val="0"/>
              <w:numPr>
                <w:ilvl w:val="0"/>
                <w:numId w:val="2"/>
              </w:numPr>
              <w:kinsoku/>
              <w:wordWrap/>
              <w:overflowPunct/>
              <w:topLinePunct w:val="0"/>
              <w:autoSpaceDE/>
              <w:autoSpaceDN/>
              <w:bidi w:val="0"/>
              <w:adjustRightInd/>
              <w:snapToGrid/>
              <w:ind w:left="283" w:hanging="283"/>
              <w:jc w:val="left"/>
              <w:textAlignment w:val="auto"/>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能根据货物外包装尺寸大小使用纵横交错法、压缝法等方法进行货物堆垛</w:t>
            </w:r>
          </w:p>
          <w:p>
            <w:pPr>
              <w:keepNext w:val="0"/>
              <w:keepLines w:val="0"/>
              <w:pageBreakBefore w:val="0"/>
              <w:widowControl w:val="0"/>
              <w:numPr>
                <w:ilvl w:val="0"/>
                <w:numId w:val="2"/>
              </w:numPr>
              <w:kinsoku/>
              <w:wordWrap/>
              <w:overflowPunct/>
              <w:topLinePunct w:val="0"/>
              <w:autoSpaceDE/>
              <w:autoSpaceDN/>
              <w:bidi w:val="0"/>
              <w:adjustRightInd/>
              <w:snapToGrid/>
              <w:ind w:left="283" w:hanging="283"/>
              <w:jc w:val="left"/>
              <w:textAlignment w:val="auto"/>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能根据货物和客户的订货特点正确选择播种法和摘果法等分拣方法</w:t>
            </w:r>
          </w:p>
          <w:p>
            <w:pPr>
              <w:keepNext w:val="0"/>
              <w:keepLines w:val="0"/>
              <w:pageBreakBefore w:val="0"/>
              <w:widowControl w:val="0"/>
              <w:numPr>
                <w:ilvl w:val="0"/>
                <w:numId w:val="2"/>
              </w:numPr>
              <w:kinsoku/>
              <w:wordWrap/>
              <w:overflowPunct/>
              <w:topLinePunct w:val="0"/>
              <w:autoSpaceDE/>
              <w:autoSpaceDN/>
              <w:bidi w:val="0"/>
              <w:adjustRightInd/>
              <w:snapToGrid/>
              <w:ind w:left="283" w:hanging="283"/>
              <w:jc w:val="left"/>
              <w:textAlignment w:val="auto"/>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能正确使用播种法进行货物分拣</w:t>
            </w:r>
          </w:p>
          <w:p>
            <w:pPr>
              <w:keepNext w:val="0"/>
              <w:keepLines w:val="0"/>
              <w:pageBreakBefore w:val="0"/>
              <w:widowControl w:val="0"/>
              <w:numPr>
                <w:ilvl w:val="0"/>
                <w:numId w:val="2"/>
              </w:numPr>
              <w:kinsoku/>
              <w:wordWrap/>
              <w:overflowPunct/>
              <w:topLinePunct w:val="0"/>
              <w:autoSpaceDE/>
              <w:autoSpaceDN/>
              <w:bidi w:val="0"/>
              <w:adjustRightInd/>
              <w:snapToGrid/>
              <w:ind w:left="283" w:hanging="283"/>
              <w:jc w:val="left"/>
              <w:textAlignment w:val="auto"/>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能正确使用摘果法进行货物分拣</w:t>
            </w:r>
          </w:p>
          <w:p>
            <w:pPr>
              <w:keepNext w:val="0"/>
              <w:keepLines w:val="0"/>
              <w:pageBreakBefore w:val="0"/>
              <w:widowControl w:val="0"/>
              <w:numPr>
                <w:ilvl w:val="0"/>
                <w:numId w:val="2"/>
              </w:numPr>
              <w:kinsoku/>
              <w:wordWrap/>
              <w:overflowPunct/>
              <w:topLinePunct w:val="0"/>
              <w:autoSpaceDE/>
              <w:autoSpaceDN/>
              <w:bidi w:val="0"/>
              <w:adjustRightInd/>
              <w:snapToGrid/>
              <w:ind w:left="283" w:hanging="283"/>
              <w:jc w:val="left"/>
              <w:textAlignment w:val="auto"/>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能根据货物特点选择包装工具</w:t>
            </w:r>
          </w:p>
          <w:p>
            <w:pPr>
              <w:keepNext w:val="0"/>
              <w:keepLines w:val="0"/>
              <w:pageBreakBefore w:val="0"/>
              <w:widowControl w:val="0"/>
              <w:numPr>
                <w:ilvl w:val="0"/>
                <w:numId w:val="2"/>
              </w:numPr>
              <w:kinsoku/>
              <w:wordWrap/>
              <w:overflowPunct/>
              <w:topLinePunct w:val="0"/>
              <w:autoSpaceDE/>
              <w:autoSpaceDN/>
              <w:bidi w:val="0"/>
              <w:adjustRightInd/>
              <w:snapToGrid/>
              <w:ind w:left="283" w:hanging="283"/>
              <w:jc w:val="left"/>
              <w:textAlignment w:val="auto"/>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能正确使用打包机、打包带、打包扣等进行货物打包</w:t>
            </w:r>
          </w:p>
          <w:p>
            <w:pPr>
              <w:keepNext w:val="0"/>
              <w:keepLines w:val="0"/>
              <w:pageBreakBefore w:val="0"/>
              <w:widowControl w:val="0"/>
              <w:numPr>
                <w:ilvl w:val="0"/>
                <w:numId w:val="2"/>
              </w:numPr>
              <w:kinsoku/>
              <w:wordWrap/>
              <w:overflowPunct/>
              <w:topLinePunct w:val="0"/>
              <w:autoSpaceDE/>
              <w:autoSpaceDN/>
              <w:bidi w:val="0"/>
              <w:adjustRightInd/>
              <w:snapToGrid/>
              <w:ind w:left="283" w:hanging="283"/>
              <w:jc w:val="left"/>
              <w:textAlignment w:val="auto"/>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能正确操作半自动包装机，并了解其基本原理</w:t>
            </w:r>
          </w:p>
          <w:p>
            <w:pPr>
              <w:keepNext w:val="0"/>
              <w:keepLines w:val="0"/>
              <w:pageBreakBefore w:val="0"/>
              <w:widowControl w:val="0"/>
              <w:numPr>
                <w:ilvl w:val="0"/>
                <w:numId w:val="2"/>
              </w:numPr>
              <w:kinsoku/>
              <w:wordWrap/>
              <w:overflowPunct/>
              <w:topLinePunct w:val="0"/>
              <w:autoSpaceDE/>
              <w:autoSpaceDN/>
              <w:bidi w:val="0"/>
              <w:adjustRightInd/>
              <w:snapToGrid/>
              <w:ind w:left="283" w:hanging="283"/>
              <w:jc w:val="left"/>
              <w:textAlignment w:val="auto"/>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能正确处理盘点单据</w:t>
            </w:r>
          </w:p>
          <w:p>
            <w:pPr>
              <w:keepNext w:val="0"/>
              <w:keepLines w:val="0"/>
              <w:pageBreakBefore w:val="0"/>
              <w:widowControl w:val="0"/>
              <w:numPr>
                <w:ilvl w:val="0"/>
                <w:numId w:val="2"/>
              </w:numPr>
              <w:kinsoku/>
              <w:wordWrap/>
              <w:overflowPunct/>
              <w:topLinePunct w:val="0"/>
              <w:autoSpaceDE/>
              <w:autoSpaceDN/>
              <w:bidi w:val="0"/>
              <w:adjustRightInd/>
              <w:snapToGrid/>
              <w:ind w:left="283" w:hanging="283"/>
              <w:jc w:val="left"/>
              <w:textAlignment w:val="auto"/>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能使用随机盘点法、账面盘点法、定期盘点法等进行货物盘点</w:t>
            </w:r>
          </w:p>
          <w:p>
            <w:pPr>
              <w:keepNext w:val="0"/>
              <w:keepLines w:val="0"/>
              <w:pageBreakBefore w:val="0"/>
              <w:widowControl w:val="0"/>
              <w:numPr>
                <w:ilvl w:val="0"/>
                <w:numId w:val="2"/>
              </w:numPr>
              <w:kinsoku/>
              <w:wordWrap/>
              <w:overflowPunct/>
              <w:topLinePunct w:val="0"/>
              <w:autoSpaceDE/>
              <w:autoSpaceDN/>
              <w:bidi w:val="0"/>
              <w:adjustRightInd/>
              <w:snapToGrid/>
              <w:ind w:left="283" w:hanging="283"/>
              <w:jc w:val="left"/>
              <w:textAlignment w:val="auto"/>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能正确处理货物出库单据</w:t>
            </w:r>
          </w:p>
          <w:p>
            <w:pPr>
              <w:keepNext w:val="0"/>
              <w:keepLines w:val="0"/>
              <w:pageBreakBefore w:val="0"/>
              <w:widowControl w:val="0"/>
              <w:numPr>
                <w:ilvl w:val="0"/>
                <w:numId w:val="2"/>
              </w:numPr>
              <w:kinsoku/>
              <w:wordWrap/>
              <w:overflowPunct/>
              <w:topLinePunct w:val="0"/>
              <w:autoSpaceDE/>
              <w:autoSpaceDN/>
              <w:bidi w:val="0"/>
              <w:adjustRightInd/>
              <w:snapToGrid/>
              <w:ind w:left="283" w:hanging="283"/>
              <w:jc w:val="left"/>
              <w:textAlignment w:val="auto"/>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能正确进行月台码放</w:t>
            </w:r>
          </w:p>
        </w:tc>
        <w:tc>
          <w:tcPr>
            <w:tcW w:w="1623" w:type="dxa"/>
            <w:shd w:val="clear" w:color="auto" w:fill="auto"/>
            <w:vAlign w:val="center"/>
          </w:tcPr>
          <w:p>
            <w:pPr>
              <w:keepNext w:val="0"/>
              <w:keepLines w:val="0"/>
              <w:pageBreakBefore w:val="0"/>
              <w:widowControl w:val="0"/>
              <w:numPr>
                <w:ilvl w:val="0"/>
                <w:numId w:val="3"/>
              </w:numPr>
              <w:kinsoku/>
              <w:wordWrap/>
              <w:overflowPunct/>
              <w:topLinePunct w:val="0"/>
              <w:autoSpaceDE/>
              <w:autoSpaceDN/>
              <w:bidi w:val="0"/>
              <w:adjustRightInd/>
              <w:snapToGrid/>
              <w:ind w:left="283" w:hanging="283"/>
              <w:jc w:val="left"/>
              <w:textAlignment w:val="auto"/>
              <w:rPr>
                <w:rFonts w:hint="eastAsia" w:ascii="Times New Roman" w:hAnsi="Times New Roman" w:eastAsia="宋体" w:cs="Times New Roman"/>
                <w:kern w:val="0"/>
                <w:sz w:val="18"/>
                <w:szCs w:val="18"/>
              </w:rPr>
            </w:pPr>
            <w:r>
              <w:rPr>
                <w:rFonts w:hint="eastAsia" w:ascii="Times New Roman" w:hAnsi="Times New Roman" w:eastAsia="宋体" w:cs="Times New Roman"/>
                <w:kern w:val="0"/>
                <w:sz w:val="18"/>
                <w:szCs w:val="18"/>
              </w:rPr>
              <w:t>仓储管理实务</w:t>
            </w:r>
          </w:p>
          <w:p>
            <w:pPr>
              <w:keepNext w:val="0"/>
              <w:keepLines w:val="0"/>
              <w:pageBreakBefore w:val="0"/>
              <w:widowControl w:val="0"/>
              <w:numPr>
                <w:ilvl w:val="0"/>
                <w:numId w:val="3"/>
              </w:numPr>
              <w:kinsoku/>
              <w:wordWrap/>
              <w:overflowPunct/>
              <w:topLinePunct w:val="0"/>
              <w:autoSpaceDE/>
              <w:autoSpaceDN/>
              <w:bidi w:val="0"/>
              <w:adjustRightInd/>
              <w:snapToGrid/>
              <w:ind w:left="283" w:hanging="283"/>
              <w:jc w:val="left"/>
              <w:textAlignment w:val="auto"/>
              <w:rPr>
                <w:rFonts w:hint="eastAsia" w:ascii="Times New Roman" w:hAnsi="Times New Roman" w:eastAsia="宋体" w:cs="Times New Roman"/>
                <w:kern w:val="0"/>
                <w:sz w:val="18"/>
                <w:szCs w:val="18"/>
              </w:rPr>
            </w:pPr>
            <w:r>
              <w:rPr>
                <w:rFonts w:hint="eastAsia" w:ascii="Times New Roman" w:hAnsi="Times New Roman" w:eastAsia="宋体" w:cs="Times New Roman"/>
                <w:kern w:val="0"/>
                <w:sz w:val="18"/>
                <w:szCs w:val="18"/>
              </w:rPr>
              <w:t>配送管理实务</w:t>
            </w:r>
          </w:p>
          <w:p>
            <w:pPr>
              <w:keepNext w:val="0"/>
              <w:keepLines w:val="0"/>
              <w:pageBreakBefore w:val="0"/>
              <w:widowControl w:val="0"/>
              <w:numPr>
                <w:ilvl w:val="0"/>
                <w:numId w:val="3"/>
              </w:numPr>
              <w:kinsoku/>
              <w:wordWrap/>
              <w:overflowPunct/>
              <w:topLinePunct w:val="0"/>
              <w:autoSpaceDE/>
              <w:autoSpaceDN/>
              <w:bidi w:val="0"/>
              <w:adjustRightInd/>
              <w:snapToGrid/>
              <w:ind w:left="283" w:hanging="283"/>
              <w:jc w:val="left"/>
              <w:textAlignment w:val="auto"/>
              <w:rPr>
                <w:rFonts w:hint="eastAsia" w:ascii="Times New Roman" w:hAnsi="Times New Roman" w:eastAsia="宋体" w:cs="Times New Roman"/>
                <w:kern w:val="0"/>
                <w:sz w:val="18"/>
                <w:szCs w:val="18"/>
              </w:rPr>
            </w:pPr>
            <w:r>
              <w:rPr>
                <w:rFonts w:hint="eastAsia" w:ascii="Times New Roman" w:hAnsi="Times New Roman" w:eastAsia="宋体" w:cs="Times New Roman"/>
                <w:kern w:val="0"/>
                <w:sz w:val="18"/>
                <w:szCs w:val="18"/>
              </w:rPr>
              <w:t>物流信息管理</w:t>
            </w:r>
          </w:p>
          <w:p>
            <w:pPr>
              <w:keepNext w:val="0"/>
              <w:keepLines w:val="0"/>
              <w:pageBreakBefore w:val="0"/>
              <w:widowControl w:val="0"/>
              <w:numPr>
                <w:ilvl w:val="0"/>
                <w:numId w:val="3"/>
              </w:numPr>
              <w:kinsoku/>
              <w:wordWrap/>
              <w:overflowPunct/>
              <w:topLinePunct w:val="0"/>
              <w:autoSpaceDE/>
              <w:autoSpaceDN/>
              <w:bidi w:val="0"/>
              <w:adjustRightInd/>
              <w:snapToGrid/>
              <w:ind w:left="283" w:hanging="283"/>
              <w:jc w:val="left"/>
              <w:textAlignment w:val="auto"/>
              <w:rPr>
                <w:rFonts w:hint="eastAsia" w:ascii="Times New Roman" w:hAnsi="Times New Roman" w:eastAsia="宋体" w:cs="Times New Roman"/>
                <w:kern w:val="0"/>
                <w:sz w:val="18"/>
                <w:szCs w:val="18"/>
              </w:rPr>
            </w:pPr>
            <w:r>
              <w:rPr>
                <w:rFonts w:hint="eastAsia" w:ascii="Times New Roman" w:hAnsi="Times New Roman" w:eastAsia="宋体" w:cs="Times New Roman"/>
                <w:kern w:val="0"/>
                <w:sz w:val="18"/>
                <w:szCs w:val="18"/>
              </w:rPr>
              <w:t>运输管理</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605" w:type="dxa"/>
            <w:shd w:val="clear" w:color="auto" w:fill="auto"/>
            <w:vAlign w:val="center"/>
          </w:tcPr>
          <w:p>
            <w:pPr>
              <w:jc w:val="center"/>
              <w:rPr>
                <w:kern w:val="0"/>
                <w:sz w:val="18"/>
                <w:szCs w:val="18"/>
              </w:rPr>
            </w:pPr>
            <w:r>
              <w:rPr>
                <w:kern w:val="0"/>
                <w:sz w:val="18"/>
                <w:szCs w:val="18"/>
              </w:rPr>
              <w:t>2</w:t>
            </w:r>
          </w:p>
        </w:tc>
        <w:tc>
          <w:tcPr>
            <w:tcW w:w="982" w:type="dxa"/>
            <w:shd w:val="clear" w:color="auto" w:fill="auto"/>
            <w:vAlign w:val="center"/>
          </w:tcPr>
          <w:p>
            <w:pPr>
              <w:jc w:val="center"/>
              <w:rPr>
                <w:kern w:val="0"/>
                <w:sz w:val="18"/>
                <w:szCs w:val="18"/>
              </w:rPr>
            </w:pPr>
            <w:r>
              <w:rPr>
                <w:rFonts w:hint="eastAsia"/>
                <w:kern w:val="0"/>
                <w:sz w:val="18"/>
                <w:szCs w:val="18"/>
              </w:rPr>
              <w:t>运输调度员</w:t>
            </w:r>
          </w:p>
        </w:tc>
        <w:tc>
          <w:tcPr>
            <w:tcW w:w="1550" w:type="dxa"/>
            <w:shd w:val="clear" w:color="auto" w:fill="auto"/>
            <w:vAlign w:val="center"/>
          </w:tcPr>
          <w:p>
            <w:pPr>
              <w:keepNext w:val="0"/>
              <w:keepLines w:val="0"/>
              <w:pageBreakBefore w:val="0"/>
              <w:widowControl w:val="0"/>
              <w:numPr>
                <w:ilvl w:val="0"/>
                <w:numId w:val="1"/>
              </w:numPr>
              <w:kinsoku/>
              <w:wordWrap/>
              <w:overflowPunct/>
              <w:topLinePunct w:val="0"/>
              <w:autoSpaceDE/>
              <w:autoSpaceDN/>
              <w:bidi w:val="0"/>
              <w:adjustRightInd/>
              <w:snapToGrid/>
              <w:ind w:left="283" w:hanging="283"/>
              <w:jc w:val="both"/>
              <w:textAlignment w:val="auto"/>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运输方式选择</w:t>
            </w:r>
          </w:p>
          <w:p>
            <w:pPr>
              <w:keepNext w:val="0"/>
              <w:keepLines w:val="0"/>
              <w:pageBreakBefore w:val="0"/>
              <w:widowControl w:val="0"/>
              <w:numPr>
                <w:ilvl w:val="0"/>
                <w:numId w:val="1"/>
              </w:numPr>
              <w:kinsoku/>
              <w:wordWrap/>
              <w:overflowPunct/>
              <w:topLinePunct w:val="0"/>
              <w:autoSpaceDE/>
              <w:autoSpaceDN/>
              <w:bidi w:val="0"/>
              <w:adjustRightInd/>
              <w:snapToGrid/>
              <w:ind w:left="283" w:hanging="283"/>
              <w:jc w:val="both"/>
              <w:textAlignment w:val="auto"/>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铁路运输托运</w:t>
            </w:r>
          </w:p>
          <w:p>
            <w:pPr>
              <w:keepNext w:val="0"/>
              <w:keepLines w:val="0"/>
              <w:pageBreakBefore w:val="0"/>
              <w:widowControl w:val="0"/>
              <w:numPr>
                <w:ilvl w:val="0"/>
                <w:numId w:val="1"/>
              </w:numPr>
              <w:kinsoku/>
              <w:wordWrap/>
              <w:overflowPunct/>
              <w:topLinePunct w:val="0"/>
              <w:autoSpaceDE/>
              <w:autoSpaceDN/>
              <w:bidi w:val="0"/>
              <w:adjustRightInd/>
              <w:snapToGrid/>
              <w:ind w:left="283" w:hanging="283"/>
              <w:jc w:val="both"/>
              <w:textAlignment w:val="auto"/>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公路运输托运</w:t>
            </w:r>
          </w:p>
          <w:p>
            <w:pPr>
              <w:keepNext w:val="0"/>
              <w:keepLines w:val="0"/>
              <w:pageBreakBefore w:val="0"/>
              <w:widowControl w:val="0"/>
              <w:numPr>
                <w:ilvl w:val="0"/>
                <w:numId w:val="1"/>
              </w:numPr>
              <w:kinsoku/>
              <w:wordWrap/>
              <w:overflowPunct/>
              <w:topLinePunct w:val="0"/>
              <w:autoSpaceDE/>
              <w:autoSpaceDN/>
              <w:bidi w:val="0"/>
              <w:adjustRightInd/>
              <w:snapToGrid/>
              <w:ind w:left="283" w:hanging="283"/>
              <w:jc w:val="both"/>
              <w:textAlignment w:val="auto"/>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航空运输托运</w:t>
            </w:r>
          </w:p>
          <w:p>
            <w:pPr>
              <w:keepNext w:val="0"/>
              <w:keepLines w:val="0"/>
              <w:pageBreakBefore w:val="0"/>
              <w:widowControl w:val="0"/>
              <w:numPr>
                <w:ilvl w:val="0"/>
                <w:numId w:val="1"/>
              </w:numPr>
              <w:kinsoku/>
              <w:wordWrap/>
              <w:overflowPunct/>
              <w:topLinePunct w:val="0"/>
              <w:autoSpaceDE/>
              <w:autoSpaceDN/>
              <w:bidi w:val="0"/>
              <w:adjustRightInd/>
              <w:snapToGrid/>
              <w:ind w:left="283" w:hanging="283"/>
              <w:jc w:val="both"/>
              <w:textAlignment w:val="auto"/>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水路班轮运输托运</w:t>
            </w:r>
          </w:p>
          <w:p>
            <w:pPr>
              <w:keepNext w:val="0"/>
              <w:keepLines w:val="0"/>
              <w:pageBreakBefore w:val="0"/>
              <w:widowControl w:val="0"/>
              <w:numPr>
                <w:ilvl w:val="0"/>
                <w:numId w:val="1"/>
              </w:numPr>
              <w:kinsoku/>
              <w:wordWrap/>
              <w:overflowPunct/>
              <w:topLinePunct w:val="0"/>
              <w:autoSpaceDE/>
              <w:autoSpaceDN/>
              <w:bidi w:val="0"/>
              <w:adjustRightInd/>
              <w:snapToGrid/>
              <w:ind w:left="283" w:hanging="283"/>
              <w:jc w:val="both"/>
              <w:textAlignment w:val="auto"/>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集装箱运输托运</w:t>
            </w:r>
          </w:p>
        </w:tc>
        <w:tc>
          <w:tcPr>
            <w:tcW w:w="4718" w:type="dxa"/>
            <w:shd w:val="clear" w:color="auto" w:fill="auto"/>
            <w:vAlign w:val="center"/>
          </w:tcPr>
          <w:p>
            <w:pPr>
              <w:keepNext w:val="0"/>
              <w:keepLines w:val="0"/>
              <w:pageBreakBefore w:val="0"/>
              <w:widowControl w:val="0"/>
              <w:numPr>
                <w:ilvl w:val="0"/>
                <w:numId w:val="2"/>
              </w:numPr>
              <w:kinsoku/>
              <w:wordWrap/>
              <w:overflowPunct/>
              <w:topLinePunct w:val="0"/>
              <w:autoSpaceDE/>
              <w:autoSpaceDN/>
              <w:bidi w:val="0"/>
              <w:adjustRightInd/>
              <w:snapToGrid/>
              <w:ind w:left="283" w:hanging="283"/>
              <w:jc w:val="left"/>
              <w:textAlignment w:val="auto"/>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能正确分析各种运输方式的优缺点</w:t>
            </w:r>
          </w:p>
          <w:p>
            <w:pPr>
              <w:keepNext w:val="0"/>
              <w:keepLines w:val="0"/>
              <w:pageBreakBefore w:val="0"/>
              <w:widowControl w:val="0"/>
              <w:numPr>
                <w:ilvl w:val="0"/>
                <w:numId w:val="2"/>
              </w:numPr>
              <w:kinsoku/>
              <w:wordWrap/>
              <w:overflowPunct/>
              <w:topLinePunct w:val="0"/>
              <w:autoSpaceDE/>
              <w:autoSpaceDN/>
              <w:bidi w:val="0"/>
              <w:adjustRightInd/>
              <w:snapToGrid/>
              <w:ind w:left="283" w:hanging="283"/>
              <w:jc w:val="left"/>
              <w:textAlignment w:val="auto"/>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能根据货物的种类、货量、要求时间、距离、路线等条件等选择合理的运输方式</w:t>
            </w:r>
          </w:p>
          <w:p>
            <w:pPr>
              <w:keepNext w:val="0"/>
              <w:keepLines w:val="0"/>
              <w:pageBreakBefore w:val="0"/>
              <w:widowControl w:val="0"/>
              <w:numPr>
                <w:ilvl w:val="0"/>
                <w:numId w:val="2"/>
              </w:numPr>
              <w:kinsoku/>
              <w:wordWrap/>
              <w:overflowPunct/>
              <w:topLinePunct w:val="0"/>
              <w:autoSpaceDE/>
              <w:autoSpaceDN/>
              <w:bidi w:val="0"/>
              <w:adjustRightInd/>
              <w:snapToGrid/>
              <w:ind w:left="283" w:hanging="283"/>
              <w:jc w:val="left"/>
              <w:textAlignment w:val="auto"/>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能正确判断某一种类、数量的货物适合零担运输还是整车运输</w:t>
            </w:r>
          </w:p>
          <w:p>
            <w:pPr>
              <w:keepNext w:val="0"/>
              <w:keepLines w:val="0"/>
              <w:pageBreakBefore w:val="0"/>
              <w:widowControl w:val="0"/>
              <w:numPr>
                <w:ilvl w:val="0"/>
                <w:numId w:val="2"/>
              </w:numPr>
              <w:kinsoku/>
              <w:wordWrap/>
              <w:overflowPunct/>
              <w:topLinePunct w:val="0"/>
              <w:autoSpaceDE/>
              <w:autoSpaceDN/>
              <w:bidi w:val="0"/>
              <w:adjustRightInd/>
              <w:snapToGrid/>
              <w:ind w:left="283" w:hanging="283"/>
              <w:jc w:val="left"/>
              <w:textAlignment w:val="auto"/>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能根据托运人的需求，拟制一份托运人与承运人之间的书面预约合同（或铁路要车计划表）</w:t>
            </w:r>
          </w:p>
          <w:p>
            <w:pPr>
              <w:keepNext w:val="0"/>
              <w:keepLines w:val="0"/>
              <w:pageBreakBefore w:val="0"/>
              <w:widowControl w:val="0"/>
              <w:numPr>
                <w:ilvl w:val="0"/>
                <w:numId w:val="2"/>
              </w:numPr>
              <w:kinsoku/>
              <w:wordWrap/>
              <w:overflowPunct/>
              <w:topLinePunct w:val="0"/>
              <w:autoSpaceDE/>
              <w:autoSpaceDN/>
              <w:bidi w:val="0"/>
              <w:adjustRightInd/>
              <w:snapToGrid/>
              <w:ind w:left="283" w:hanging="283"/>
              <w:jc w:val="left"/>
              <w:textAlignment w:val="auto"/>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能熟练的填制铁路局托运单和货票</w:t>
            </w:r>
          </w:p>
          <w:p>
            <w:pPr>
              <w:keepNext w:val="0"/>
              <w:keepLines w:val="0"/>
              <w:pageBreakBefore w:val="0"/>
              <w:widowControl w:val="0"/>
              <w:numPr>
                <w:ilvl w:val="0"/>
                <w:numId w:val="2"/>
              </w:numPr>
              <w:kinsoku/>
              <w:wordWrap/>
              <w:overflowPunct/>
              <w:topLinePunct w:val="0"/>
              <w:autoSpaceDE/>
              <w:autoSpaceDN/>
              <w:bidi w:val="0"/>
              <w:adjustRightInd/>
              <w:snapToGrid/>
              <w:ind w:left="283" w:hanging="283"/>
              <w:jc w:val="left"/>
              <w:textAlignment w:val="auto"/>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能正确计算铁路零担、铁路整车、铁路集装箱的运输费用</w:t>
            </w:r>
          </w:p>
          <w:p>
            <w:pPr>
              <w:keepNext w:val="0"/>
              <w:keepLines w:val="0"/>
              <w:pageBreakBefore w:val="0"/>
              <w:widowControl w:val="0"/>
              <w:numPr>
                <w:ilvl w:val="0"/>
                <w:numId w:val="2"/>
              </w:numPr>
              <w:kinsoku/>
              <w:wordWrap/>
              <w:overflowPunct/>
              <w:topLinePunct w:val="0"/>
              <w:autoSpaceDE/>
              <w:autoSpaceDN/>
              <w:bidi w:val="0"/>
              <w:adjustRightInd/>
              <w:snapToGrid/>
              <w:ind w:left="283" w:hanging="283"/>
              <w:jc w:val="left"/>
              <w:textAlignment w:val="auto"/>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能正确模拟托运单和货票的不同联的流转过程</w:t>
            </w:r>
          </w:p>
          <w:p>
            <w:pPr>
              <w:keepNext w:val="0"/>
              <w:keepLines w:val="0"/>
              <w:pageBreakBefore w:val="0"/>
              <w:widowControl w:val="0"/>
              <w:numPr>
                <w:ilvl w:val="0"/>
                <w:numId w:val="2"/>
              </w:numPr>
              <w:kinsoku/>
              <w:wordWrap/>
              <w:overflowPunct/>
              <w:topLinePunct w:val="0"/>
              <w:autoSpaceDE/>
              <w:autoSpaceDN/>
              <w:bidi w:val="0"/>
              <w:adjustRightInd/>
              <w:snapToGrid/>
              <w:ind w:left="283" w:hanging="283"/>
              <w:jc w:val="left"/>
              <w:textAlignment w:val="auto"/>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能正确判断某一种类、数量的货物适合零担运输还是整车运输</w:t>
            </w:r>
          </w:p>
          <w:p>
            <w:pPr>
              <w:keepNext w:val="0"/>
              <w:keepLines w:val="0"/>
              <w:pageBreakBefore w:val="0"/>
              <w:widowControl w:val="0"/>
              <w:numPr>
                <w:ilvl w:val="0"/>
                <w:numId w:val="2"/>
              </w:numPr>
              <w:kinsoku/>
              <w:wordWrap/>
              <w:overflowPunct/>
              <w:topLinePunct w:val="0"/>
              <w:autoSpaceDE/>
              <w:autoSpaceDN/>
              <w:bidi w:val="0"/>
              <w:adjustRightInd/>
              <w:snapToGrid/>
              <w:ind w:left="283" w:hanging="283"/>
              <w:jc w:val="left"/>
              <w:textAlignment w:val="auto"/>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能熟练的填制公路运输托运单和货票</w:t>
            </w:r>
          </w:p>
          <w:p>
            <w:pPr>
              <w:keepNext w:val="0"/>
              <w:keepLines w:val="0"/>
              <w:pageBreakBefore w:val="0"/>
              <w:widowControl w:val="0"/>
              <w:numPr>
                <w:ilvl w:val="0"/>
                <w:numId w:val="2"/>
              </w:numPr>
              <w:kinsoku/>
              <w:wordWrap/>
              <w:overflowPunct/>
              <w:topLinePunct w:val="0"/>
              <w:autoSpaceDE/>
              <w:autoSpaceDN/>
              <w:bidi w:val="0"/>
              <w:adjustRightInd/>
              <w:snapToGrid/>
              <w:ind w:left="283" w:hanging="283"/>
              <w:jc w:val="left"/>
              <w:textAlignment w:val="auto"/>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能正确计算公路零担、公路整车的运输费用</w:t>
            </w:r>
          </w:p>
          <w:p>
            <w:pPr>
              <w:keepNext w:val="0"/>
              <w:keepLines w:val="0"/>
              <w:pageBreakBefore w:val="0"/>
              <w:widowControl w:val="0"/>
              <w:numPr>
                <w:ilvl w:val="0"/>
                <w:numId w:val="2"/>
              </w:numPr>
              <w:kinsoku/>
              <w:wordWrap/>
              <w:overflowPunct/>
              <w:topLinePunct w:val="0"/>
              <w:autoSpaceDE/>
              <w:autoSpaceDN/>
              <w:bidi w:val="0"/>
              <w:adjustRightInd/>
              <w:snapToGrid/>
              <w:ind w:left="283" w:hanging="283"/>
              <w:jc w:val="left"/>
              <w:textAlignment w:val="auto"/>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能熟练操作浙江省交通厅公路运输管理平台软件（小件快运、普通货物运输两套软件）</w:t>
            </w:r>
          </w:p>
          <w:p>
            <w:pPr>
              <w:keepNext w:val="0"/>
              <w:keepLines w:val="0"/>
              <w:pageBreakBefore w:val="0"/>
              <w:widowControl w:val="0"/>
              <w:numPr>
                <w:ilvl w:val="0"/>
                <w:numId w:val="2"/>
              </w:numPr>
              <w:kinsoku/>
              <w:wordWrap/>
              <w:overflowPunct/>
              <w:topLinePunct w:val="0"/>
              <w:autoSpaceDE/>
              <w:autoSpaceDN/>
              <w:bidi w:val="0"/>
              <w:adjustRightInd/>
              <w:snapToGrid/>
              <w:ind w:left="283" w:hanging="283"/>
              <w:jc w:val="left"/>
              <w:textAlignment w:val="auto"/>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能根据所给托运信息正确的填制航空运单</w:t>
            </w:r>
          </w:p>
          <w:p>
            <w:pPr>
              <w:keepNext w:val="0"/>
              <w:keepLines w:val="0"/>
              <w:pageBreakBefore w:val="0"/>
              <w:widowControl w:val="0"/>
              <w:numPr>
                <w:ilvl w:val="0"/>
                <w:numId w:val="2"/>
              </w:numPr>
              <w:kinsoku/>
              <w:wordWrap/>
              <w:overflowPunct/>
              <w:topLinePunct w:val="0"/>
              <w:autoSpaceDE/>
              <w:autoSpaceDN/>
              <w:bidi w:val="0"/>
              <w:adjustRightInd/>
              <w:snapToGrid/>
              <w:ind w:left="283" w:hanging="283"/>
              <w:jc w:val="left"/>
              <w:textAlignment w:val="auto"/>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能正确根据航空运输的普通运价、等级运价、指定商品运价、优惠价格等计算航空货物的运输费用</w:t>
            </w:r>
          </w:p>
          <w:p>
            <w:pPr>
              <w:keepNext w:val="0"/>
              <w:keepLines w:val="0"/>
              <w:pageBreakBefore w:val="0"/>
              <w:widowControl w:val="0"/>
              <w:numPr>
                <w:ilvl w:val="0"/>
                <w:numId w:val="2"/>
              </w:numPr>
              <w:kinsoku/>
              <w:wordWrap/>
              <w:overflowPunct/>
              <w:topLinePunct w:val="0"/>
              <w:autoSpaceDE/>
              <w:autoSpaceDN/>
              <w:bidi w:val="0"/>
              <w:adjustRightInd/>
              <w:snapToGrid/>
              <w:ind w:left="283" w:hanging="283"/>
              <w:jc w:val="left"/>
              <w:textAlignment w:val="auto"/>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能准确填制有关托运单、运单、提单、提货单</w:t>
            </w:r>
          </w:p>
          <w:p>
            <w:pPr>
              <w:keepNext w:val="0"/>
              <w:keepLines w:val="0"/>
              <w:pageBreakBefore w:val="0"/>
              <w:widowControl w:val="0"/>
              <w:numPr>
                <w:ilvl w:val="0"/>
                <w:numId w:val="2"/>
              </w:numPr>
              <w:kinsoku/>
              <w:wordWrap/>
              <w:overflowPunct/>
              <w:topLinePunct w:val="0"/>
              <w:autoSpaceDE/>
              <w:autoSpaceDN/>
              <w:bidi w:val="0"/>
              <w:adjustRightInd/>
              <w:snapToGrid/>
              <w:ind w:left="283" w:hanging="283"/>
              <w:jc w:val="left"/>
              <w:textAlignment w:val="auto"/>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能根据运价表中的规定正确计算托运货物的计费重量，准确计算基本运费和附加费。</w:t>
            </w:r>
          </w:p>
          <w:p>
            <w:pPr>
              <w:keepNext w:val="0"/>
              <w:keepLines w:val="0"/>
              <w:pageBreakBefore w:val="0"/>
              <w:widowControl w:val="0"/>
              <w:numPr>
                <w:ilvl w:val="0"/>
                <w:numId w:val="2"/>
              </w:numPr>
              <w:kinsoku/>
              <w:wordWrap/>
              <w:overflowPunct/>
              <w:topLinePunct w:val="0"/>
              <w:autoSpaceDE/>
              <w:autoSpaceDN/>
              <w:bidi w:val="0"/>
              <w:adjustRightInd/>
              <w:snapToGrid/>
              <w:ind w:left="283" w:hanging="283"/>
              <w:jc w:val="left"/>
              <w:textAlignment w:val="auto"/>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能根据一单进出口业务熟练操作国际贸易软件进出口流程</w:t>
            </w:r>
          </w:p>
          <w:p>
            <w:pPr>
              <w:keepNext w:val="0"/>
              <w:keepLines w:val="0"/>
              <w:pageBreakBefore w:val="0"/>
              <w:widowControl w:val="0"/>
              <w:numPr>
                <w:ilvl w:val="0"/>
                <w:numId w:val="2"/>
              </w:numPr>
              <w:kinsoku/>
              <w:wordWrap/>
              <w:overflowPunct/>
              <w:topLinePunct w:val="0"/>
              <w:autoSpaceDE/>
              <w:autoSpaceDN/>
              <w:bidi w:val="0"/>
              <w:adjustRightInd/>
              <w:snapToGrid/>
              <w:ind w:left="283" w:hanging="283"/>
              <w:jc w:val="left"/>
              <w:textAlignment w:val="auto"/>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能正确分析集装箱上的标识所代表的各项内容</w:t>
            </w:r>
          </w:p>
          <w:p>
            <w:pPr>
              <w:keepNext w:val="0"/>
              <w:keepLines w:val="0"/>
              <w:pageBreakBefore w:val="0"/>
              <w:widowControl w:val="0"/>
              <w:numPr>
                <w:ilvl w:val="0"/>
                <w:numId w:val="2"/>
              </w:numPr>
              <w:kinsoku/>
              <w:wordWrap/>
              <w:overflowPunct/>
              <w:topLinePunct w:val="0"/>
              <w:autoSpaceDE/>
              <w:autoSpaceDN/>
              <w:bidi w:val="0"/>
              <w:adjustRightInd/>
              <w:snapToGrid/>
              <w:ind w:left="283" w:hanging="283"/>
              <w:jc w:val="left"/>
              <w:textAlignment w:val="auto"/>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能准确根据所给货物尺寸，分析20ft/40ft集装箱箱内货物堆码方法，使集装箱得到最大利用。</w:t>
            </w:r>
          </w:p>
          <w:p>
            <w:pPr>
              <w:keepNext w:val="0"/>
              <w:keepLines w:val="0"/>
              <w:pageBreakBefore w:val="0"/>
              <w:widowControl w:val="0"/>
              <w:numPr>
                <w:ilvl w:val="0"/>
                <w:numId w:val="2"/>
              </w:numPr>
              <w:kinsoku/>
              <w:wordWrap/>
              <w:overflowPunct/>
              <w:topLinePunct w:val="0"/>
              <w:autoSpaceDE/>
              <w:autoSpaceDN/>
              <w:bidi w:val="0"/>
              <w:adjustRightInd/>
              <w:snapToGrid/>
              <w:ind w:left="283" w:hanging="283"/>
              <w:jc w:val="left"/>
              <w:textAlignment w:val="auto"/>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能准确分析每一种集装箱交接方法下托运人、承运人、收货人各自的责任范围。</w:t>
            </w:r>
          </w:p>
        </w:tc>
        <w:tc>
          <w:tcPr>
            <w:tcW w:w="1623" w:type="dxa"/>
            <w:shd w:val="clear" w:color="auto" w:fill="auto"/>
            <w:vAlign w:val="center"/>
          </w:tcPr>
          <w:p>
            <w:pPr>
              <w:keepNext w:val="0"/>
              <w:keepLines w:val="0"/>
              <w:pageBreakBefore w:val="0"/>
              <w:widowControl w:val="0"/>
              <w:numPr>
                <w:ilvl w:val="0"/>
                <w:numId w:val="3"/>
              </w:numPr>
              <w:kinsoku/>
              <w:wordWrap/>
              <w:overflowPunct/>
              <w:topLinePunct w:val="0"/>
              <w:autoSpaceDE/>
              <w:autoSpaceDN/>
              <w:bidi w:val="0"/>
              <w:adjustRightInd/>
              <w:snapToGrid/>
              <w:ind w:left="283" w:hanging="283"/>
              <w:jc w:val="left"/>
              <w:textAlignment w:val="auto"/>
              <w:rPr>
                <w:rFonts w:hint="eastAsia" w:ascii="Times New Roman" w:hAnsi="Times New Roman" w:eastAsia="宋体" w:cs="Times New Roman"/>
                <w:kern w:val="0"/>
                <w:sz w:val="18"/>
                <w:szCs w:val="18"/>
              </w:rPr>
            </w:pPr>
            <w:r>
              <w:rPr>
                <w:rFonts w:hint="eastAsia" w:ascii="Times New Roman" w:hAnsi="Times New Roman" w:eastAsia="宋体" w:cs="Times New Roman"/>
                <w:kern w:val="0"/>
                <w:sz w:val="18"/>
                <w:szCs w:val="18"/>
              </w:rPr>
              <w:t>物流成本管理</w:t>
            </w:r>
          </w:p>
          <w:p>
            <w:pPr>
              <w:keepNext w:val="0"/>
              <w:keepLines w:val="0"/>
              <w:pageBreakBefore w:val="0"/>
              <w:widowControl w:val="0"/>
              <w:numPr>
                <w:ilvl w:val="0"/>
                <w:numId w:val="3"/>
              </w:numPr>
              <w:kinsoku/>
              <w:wordWrap/>
              <w:overflowPunct/>
              <w:topLinePunct w:val="0"/>
              <w:autoSpaceDE/>
              <w:autoSpaceDN/>
              <w:bidi w:val="0"/>
              <w:adjustRightInd/>
              <w:snapToGrid/>
              <w:ind w:left="283" w:hanging="283"/>
              <w:jc w:val="left"/>
              <w:textAlignment w:val="auto"/>
              <w:rPr>
                <w:rFonts w:hint="eastAsia" w:ascii="Times New Roman" w:hAnsi="Times New Roman" w:eastAsia="宋体" w:cs="Times New Roman"/>
                <w:kern w:val="0"/>
                <w:sz w:val="18"/>
                <w:szCs w:val="18"/>
              </w:rPr>
            </w:pPr>
            <w:r>
              <w:rPr>
                <w:rFonts w:hint="eastAsia" w:ascii="Times New Roman" w:hAnsi="Times New Roman" w:eastAsia="宋体" w:cs="Times New Roman"/>
                <w:kern w:val="0"/>
                <w:sz w:val="18"/>
                <w:szCs w:val="18"/>
              </w:rPr>
              <w:t>运输管理</w:t>
            </w:r>
          </w:p>
          <w:p>
            <w:pPr>
              <w:keepNext w:val="0"/>
              <w:keepLines w:val="0"/>
              <w:pageBreakBefore w:val="0"/>
              <w:widowControl w:val="0"/>
              <w:numPr>
                <w:ilvl w:val="0"/>
                <w:numId w:val="3"/>
              </w:numPr>
              <w:kinsoku/>
              <w:wordWrap/>
              <w:overflowPunct/>
              <w:topLinePunct w:val="0"/>
              <w:autoSpaceDE/>
              <w:autoSpaceDN/>
              <w:bidi w:val="0"/>
              <w:adjustRightInd/>
              <w:snapToGrid/>
              <w:ind w:left="283" w:hanging="283"/>
              <w:jc w:val="left"/>
              <w:textAlignment w:val="auto"/>
              <w:rPr>
                <w:rFonts w:hint="eastAsia" w:ascii="Times New Roman" w:hAnsi="Times New Roman" w:eastAsia="宋体" w:cs="Times New Roman"/>
                <w:kern w:val="0"/>
                <w:sz w:val="18"/>
                <w:szCs w:val="18"/>
              </w:rPr>
            </w:pPr>
            <w:r>
              <w:rPr>
                <w:rFonts w:hint="eastAsia" w:ascii="Times New Roman" w:hAnsi="Times New Roman" w:eastAsia="宋体" w:cs="Times New Roman"/>
                <w:kern w:val="0"/>
                <w:sz w:val="18"/>
                <w:szCs w:val="18"/>
              </w:rPr>
              <w:t>仓储管理实务</w:t>
            </w:r>
          </w:p>
          <w:p>
            <w:pPr>
              <w:keepNext w:val="0"/>
              <w:keepLines w:val="0"/>
              <w:pageBreakBefore w:val="0"/>
              <w:widowControl w:val="0"/>
              <w:numPr>
                <w:ilvl w:val="0"/>
                <w:numId w:val="3"/>
              </w:numPr>
              <w:kinsoku/>
              <w:wordWrap/>
              <w:overflowPunct/>
              <w:topLinePunct w:val="0"/>
              <w:autoSpaceDE/>
              <w:autoSpaceDN/>
              <w:bidi w:val="0"/>
              <w:adjustRightInd/>
              <w:snapToGrid/>
              <w:ind w:left="283" w:hanging="283"/>
              <w:jc w:val="left"/>
              <w:textAlignment w:val="auto"/>
              <w:rPr>
                <w:rFonts w:hint="eastAsia" w:ascii="Times New Roman" w:hAnsi="Times New Roman" w:eastAsia="宋体" w:cs="Times New Roman"/>
                <w:kern w:val="0"/>
                <w:sz w:val="18"/>
                <w:szCs w:val="18"/>
              </w:rPr>
            </w:pPr>
            <w:r>
              <w:rPr>
                <w:rFonts w:hint="eastAsia" w:ascii="Times New Roman" w:hAnsi="Times New Roman" w:eastAsia="宋体" w:cs="Times New Roman"/>
                <w:kern w:val="0"/>
                <w:sz w:val="18"/>
                <w:szCs w:val="18"/>
              </w:rPr>
              <w:t>配送管理实务</w:t>
            </w:r>
          </w:p>
          <w:p>
            <w:pPr>
              <w:keepNext w:val="0"/>
              <w:keepLines w:val="0"/>
              <w:pageBreakBefore w:val="0"/>
              <w:widowControl w:val="0"/>
              <w:numPr>
                <w:ilvl w:val="0"/>
                <w:numId w:val="0"/>
              </w:numPr>
              <w:kinsoku/>
              <w:wordWrap/>
              <w:overflowPunct/>
              <w:topLinePunct w:val="0"/>
              <w:autoSpaceDE/>
              <w:autoSpaceDN/>
              <w:bidi w:val="0"/>
              <w:adjustRightInd/>
              <w:snapToGrid/>
              <w:ind w:leftChars="0"/>
              <w:jc w:val="left"/>
              <w:textAlignment w:val="auto"/>
              <w:rPr>
                <w:rFonts w:hint="eastAsia" w:ascii="Times New Roman" w:hAnsi="Times New Roman" w:eastAsia="宋体" w:cs="Times New Roman"/>
                <w:kern w:val="0"/>
                <w:sz w:val="18"/>
                <w:szCs w:val="18"/>
              </w:rPr>
            </w:pP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605" w:type="dxa"/>
            <w:shd w:val="clear" w:color="auto" w:fill="auto"/>
            <w:vAlign w:val="center"/>
          </w:tcPr>
          <w:p>
            <w:pPr>
              <w:jc w:val="center"/>
              <w:rPr>
                <w:kern w:val="0"/>
                <w:sz w:val="18"/>
                <w:szCs w:val="18"/>
              </w:rPr>
            </w:pPr>
            <w:r>
              <w:rPr>
                <w:kern w:val="0"/>
                <w:sz w:val="18"/>
                <w:szCs w:val="18"/>
              </w:rPr>
              <w:t>3</w:t>
            </w:r>
          </w:p>
        </w:tc>
        <w:tc>
          <w:tcPr>
            <w:tcW w:w="982" w:type="dxa"/>
            <w:shd w:val="clear" w:color="auto" w:fill="auto"/>
            <w:vAlign w:val="center"/>
          </w:tcPr>
          <w:p>
            <w:pPr>
              <w:jc w:val="center"/>
              <w:rPr>
                <w:kern w:val="0"/>
                <w:sz w:val="18"/>
                <w:szCs w:val="18"/>
              </w:rPr>
            </w:pPr>
            <w:r>
              <w:rPr>
                <w:rFonts w:hint="eastAsia"/>
                <w:kern w:val="0"/>
                <w:sz w:val="18"/>
                <w:szCs w:val="18"/>
              </w:rPr>
              <w:t>配送作业员</w:t>
            </w:r>
          </w:p>
        </w:tc>
        <w:tc>
          <w:tcPr>
            <w:tcW w:w="1550" w:type="dxa"/>
            <w:shd w:val="clear" w:color="auto" w:fill="auto"/>
            <w:vAlign w:val="center"/>
          </w:tcPr>
          <w:p>
            <w:pPr>
              <w:keepNext w:val="0"/>
              <w:keepLines w:val="0"/>
              <w:pageBreakBefore w:val="0"/>
              <w:widowControl w:val="0"/>
              <w:numPr>
                <w:ilvl w:val="0"/>
                <w:numId w:val="1"/>
              </w:numPr>
              <w:kinsoku/>
              <w:wordWrap/>
              <w:overflowPunct/>
              <w:topLinePunct w:val="0"/>
              <w:autoSpaceDE/>
              <w:autoSpaceDN/>
              <w:bidi w:val="0"/>
              <w:adjustRightInd/>
              <w:snapToGrid/>
              <w:ind w:left="283" w:hanging="283"/>
              <w:jc w:val="both"/>
              <w:textAlignment w:val="auto"/>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配送计划的制定</w:t>
            </w:r>
          </w:p>
          <w:p>
            <w:pPr>
              <w:keepNext w:val="0"/>
              <w:keepLines w:val="0"/>
              <w:pageBreakBefore w:val="0"/>
              <w:widowControl w:val="0"/>
              <w:numPr>
                <w:ilvl w:val="0"/>
                <w:numId w:val="1"/>
              </w:numPr>
              <w:kinsoku/>
              <w:wordWrap/>
              <w:overflowPunct/>
              <w:topLinePunct w:val="0"/>
              <w:autoSpaceDE/>
              <w:autoSpaceDN/>
              <w:bidi w:val="0"/>
              <w:adjustRightInd/>
              <w:snapToGrid/>
              <w:ind w:left="283" w:hanging="283"/>
              <w:jc w:val="both"/>
              <w:textAlignment w:val="auto"/>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配送作业的执行</w:t>
            </w:r>
          </w:p>
          <w:p>
            <w:pPr>
              <w:keepNext w:val="0"/>
              <w:keepLines w:val="0"/>
              <w:pageBreakBefore w:val="0"/>
              <w:widowControl w:val="0"/>
              <w:numPr>
                <w:ilvl w:val="0"/>
                <w:numId w:val="1"/>
              </w:numPr>
              <w:kinsoku/>
              <w:wordWrap/>
              <w:overflowPunct/>
              <w:topLinePunct w:val="0"/>
              <w:autoSpaceDE/>
              <w:autoSpaceDN/>
              <w:bidi w:val="0"/>
              <w:adjustRightInd/>
              <w:snapToGrid/>
              <w:ind w:left="283" w:hanging="283"/>
              <w:jc w:val="both"/>
              <w:textAlignment w:val="auto"/>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配送中心规划</w:t>
            </w:r>
          </w:p>
        </w:tc>
        <w:tc>
          <w:tcPr>
            <w:tcW w:w="4718" w:type="dxa"/>
            <w:shd w:val="clear" w:color="auto" w:fill="auto"/>
            <w:vAlign w:val="center"/>
          </w:tcPr>
          <w:p>
            <w:pPr>
              <w:keepNext w:val="0"/>
              <w:keepLines w:val="0"/>
              <w:pageBreakBefore w:val="0"/>
              <w:widowControl w:val="0"/>
              <w:numPr>
                <w:ilvl w:val="0"/>
                <w:numId w:val="2"/>
              </w:numPr>
              <w:kinsoku/>
              <w:wordWrap/>
              <w:overflowPunct/>
              <w:topLinePunct w:val="0"/>
              <w:autoSpaceDE/>
              <w:autoSpaceDN/>
              <w:bidi w:val="0"/>
              <w:adjustRightInd/>
              <w:snapToGrid/>
              <w:ind w:left="283" w:hanging="283"/>
              <w:jc w:val="left"/>
              <w:textAlignment w:val="auto"/>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能正确分析每一种配送模式的优缺点，并结合所给例子说明该例子中货物适合哪一种配送模式</w:t>
            </w:r>
          </w:p>
          <w:p>
            <w:pPr>
              <w:keepNext w:val="0"/>
              <w:keepLines w:val="0"/>
              <w:pageBreakBefore w:val="0"/>
              <w:widowControl w:val="0"/>
              <w:numPr>
                <w:ilvl w:val="0"/>
                <w:numId w:val="2"/>
              </w:numPr>
              <w:kinsoku/>
              <w:wordWrap/>
              <w:overflowPunct/>
              <w:topLinePunct w:val="0"/>
              <w:autoSpaceDE/>
              <w:autoSpaceDN/>
              <w:bidi w:val="0"/>
              <w:adjustRightInd/>
              <w:snapToGrid/>
              <w:ind w:left="283" w:hanging="283"/>
              <w:jc w:val="left"/>
              <w:textAlignment w:val="auto"/>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能根据某个配送中心的门店需求情况和配送中心的现有资源情况，制定一份在时间、路线、成本等方面较为合理的配送计划。在配送路线方面要能做到尽可能优化。</w:t>
            </w:r>
          </w:p>
          <w:p>
            <w:pPr>
              <w:keepNext w:val="0"/>
              <w:keepLines w:val="0"/>
              <w:pageBreakBefore w:val="0"/>
              <w:widowControl w:val="0"/>
              <w:numPr>
                <w:ilvl w:val="0"/>
                <w:numId w:val="2"/>
              </w:numPr>
              <w:kinsoku/>
              <w:wordWrap/>
              <w:overflowPunct/>
              <w:topLinePunct w:val="0"/>
              <w:autoSpaceDE/>
              <w:autoSpaceDN/>
              <w:bidi w:val="0"/>
              <w:adjustRightInd/>
              <w:snapToGrid/>
              <w:ind w:left="283" w:hanging="283"/>
              <w:jc w:val="left"/>
              <w:textAlignment w:val="auto"/>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能熟练编制有关配送中心的采购订单、入库单、盘点单、出库单、台账等单据</w:t>
            </w:r>
          </w:p>
          <w:p>
            <w:pPr>
              <w:keepNext w:val="0"/>
              <w:keepLines w:val="0"/>
              <w:pageBreakBefore w:val="0"/>
              <w:widowControl w:val="0"/>
              <w:numPr>
                <w:ilvl w:val="0"/>
                <w:numId w:val="2"/>
              </w:numPr>
              <w:kinsoku/>
              <w:wordWrap/>
              <w:overflowPunct/>
              <w:topLinePunct w:val="0"/>
              <w:autoSpaceDE/>
              <w:autoSpaceDN/>
              <w:bidi w:val="0"/>
              <w:adjustRightInd/>
              <w:snapToGrid/>
              <w:ind w:left="283" w:hanging="283"/>
              <w:jc w:val="left"/>
              <w:textAlignment w:val="auto"/>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能熟练对配送中心入库、在库管理、出库等进行操作</w:t>
            </w:r>
          </w:p>
          <w:p>
            <w:pPr>
              <w:keepNext w:val="0"/>
              <w:keepLines w:val="0"/>
              <w:pageBreakBefore w:val="0"/>
              <w:widowControl w:val="0"/>
              <w:numPr>
                <w:ilvl w:val="0"/>
                <w:numId w:val="2"/>
              </w:numPr>
              <w:kinsoku/>
              <w:wordWrap/>
              <w:overflowPunct/>
              <w:topLinePunct w:val="0"/>
              <w:autoSpaceDE/>
              <w:autoSpaceDN/>
              <w:bidi w:val="0"/>
              <w:adjustRightInd/>
              <w:snapToGrid/>
              <w:ind w:left="283" w:hanging="283"/>
              <w:jc w:val="left"/>
              <w:textAlignment w:val="auto"/>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能对企业配送绩效进行数据收集、整理和分析</w:t>
            </w:r>
          </w:p>
          <w:p>
            <w:pPr>
              <w:keepNext w:val="0"/>
              <w:keepLines w:val="0"/>
              <w:pageBreakBefore w:val="0"/>
              <w:widowControl w:val="0"/>
              <w:numPr>
                <w:ilvl w:val="0"/>
                <w:numId w:val="2"/>
              </w:numPr>
              <w:kinsoku/>
              <w:wordWrap/>
              <w:overflowPunct/>
              <w:topLinePunct w:val="0"/>
              <w:autoSpaceDE/>
              <w:autoSpaceDN/>
              <w:bidi w:val="0"/>
              <w:adjustRightInd/>
              <w:snapToGrid/>
              <w:ind w:left="283" w:hanging="283"/>
              <w:jc w:val="left"/>
              <w:textAlignment w:val="auto"/>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能对企业现有配送方案提出存在的问题和改进措施</w:t>
            </w:r>
          </w:p>
          <w:p>
            <w:pPr>
              <w:keepNext w:val="0"/>
              <w:keepLines w:val="0"/>
              <w:pageBreakBefore w:val="0"/>
              <w:widowControl w:val="0"/>
              <w:numPr>
                <w:ilvl w:val="0"/>
                <w:numId w:val="2"/>
              </w:numPr>
              <w:kinsoku/>
              <w:wordWrap/>
              <w:overflowPunct/>
              <w:topLinePunct w:val="0"/>
              <w:autoSpaceDE/>
              <w:autoSpaceDN/>
              <w:bidi w:val="0"/>
              <w:adjustRightInd/>
              <w:snapToGrid/>
              <w:ind w:left="283" w:hanging="283"/>
              <w:jc w:val="left"/>
              <w:textAlignment w:val="auto"/>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能根据所给信息对一个需要新建的配送中心，设计其平面布局图、配备相应的设备、设计工作岗位、画出工作流程图、并进行成本估算。</w:t>
            </w:r>
          </w:p>
        </w:tc>
        <w:tc>
          <w:tcPr>
            <w:tcW w:w="1623" w:type="dxa"/>
            <w:shd w:val="clear" w:color="auto" w:fill="auto"/>
            <w:vAlign w:val="center"/>
          </w:tcPr>
          <w:p>
            <w:pPr>
              <w:keepNext w:val="0"/>
              <w:keepLines w:val="0"/>
              <w:pageBreakBefore w:val="0"/>
              <w:widowControl w:val="0"/>
              <w:numPr>
                <w:ilvl w:val="0"/>
                <w:numId w:val="3"/>
              </w:numPr>
              <w:kinsoku/>
              <w:wordWrap/>
              <w:overflowPunct/>
              <w:topLinePunct w:val="0"/>
              <w:autoSpaceDE/>
              <w:autoSpaceDN/>
              <w:bidi w:val="0"/>
              <w:adjustRightInd/>
              <w:snapToGrid/>
              <w:ind w:left="283" w:hanging="283"/>
              <w:jc w:val="left"/>
              <w:textAlignment w:val="auto"/>
              <w:rPr>
                <w:rFonts w:hint="eastAsia" w:ascii="Times New Roman" w:hAnsi="Times New Roman" w:eastAsia="宋体" w:cs="Times New Roman"/>
                <w:kern w:val="0"/>
                <w:sz w:val="18"/>
                <w:szCs w:val="18"/>
              </w:rPr>
            </w:pPr>
            <w:r>
              <w:rPr>
                <w:rFonts w:hint="eastAsia" w:ascii="Times New Roman" w:hAnsi="Times New Roman" w:eastAsia="宋体" w:cs="Times New Roman"/>
                <w:kern w:val="0"/>
                <w:sz w:val="18"/>
                <w:szCs w:val="18"/>
              </w:rPr>
              <w:t>物流管理基础</w:t>
            </w:r>
          </w:p>
          <w:p>
            <w:pPr>
              <w:keepNext w:val="0"/>
              <w:keepLines w:val="0"/>
              <w:pageBreakBefore w:val="0"/>
              <w:widowControl w:val="0"/>
              <w:numPr>
                <w:ilvl w:val="0"/>
                <w:numId w:val="3"/>
              </w:numPr>
              <w:kinsoku/>
              <w:wordWrap/>
              <w:overflowPunct/>
              <w:topLinePunct w:val="0"/>
              <w:autoSpaceDE/>
              <w:autoSpaceDN/>
              <w:bidi w:val="0"/>
              <w:adjustRightInd/>
              <w:snapToGrid/>
              <w:ind w:left="283" w:hanging="283"/>
              <w:jc w:val="left"/>
              <w:textAlignment w:val="auto"/>
              <w:rPr>
                <w:rFonts w:hint="eastAsia" w:ascii="Times New Roman" w:hAnsi="Times New Roman" w:eastAsia="宋体" w:cs="Times New Roman"/>
                <w:kern w:val="0"/>
                <w:sz w:val="18"/>
                <w:szCs w:val="18"/>
              </w:rPr>
            </w:pPr>
            <w:r>
              <w:rPr>
                <w:rFonts w:hint="eastAsia" w:ascii="Times New Roman" w:hAnsi="Times New Roman" w:eastAsia="宋体" w:cs="Times New Roman"/>
                <w:kern w:val="0"/>
                <w:sz w:val="18"/>
                <w:szCs w:val="18"/>
              </w:rPr>
              <w:t>配送管理实务</w:t>
            </w:r>
          </w:p>
          <w:p>
            <w:pPr>
              <w:keepNext w:val="0"/>
              <w:keepLines w:val="0"/>
              <w:pageBreakBefore w:val="0"/>
              <w:widowControl w:val="0"/>
              <w:numPr>
                <w:ilvl w:val="0"/>
                <w:numId w:val="3"/>
              </w:numPr>
              <w:kinsoku/>
              <w:wordWrap/>
              <w:overflowPunct/>
              <w:topLinePunct w:val="0"/>
              <w:autoSpaceDE/>
              <w:autoSpaceDN/>
              <w:bidi w:val="0"/>
              <w:adjustRightInd/>
              <w:snapToGrid/>
              <w:ind w:left="283" w:hanging="283"/>
              <w:jc w:val="left"/>
              <w:textAlignment w:val="auto"/>
              <w:rPr>
                <w:rFonts w:hint="eastAsia" w:ascii="Times New Roman" w:hAnsi="Times New Roman" w:eastAsia="宋体" w:cs="Times New Roman"/>
                <w:kern w:val="0"/>
                <w:sz w:val="18"/>
                <w:szCs w:val="18"/>
              </w:rPr>
            </w:pPr>
            <w:r>
              <w:rPr>
                <w:rFonts w:hint="eastAsia" w:ascii="Times New Roman" w:hAnsi="Times New Roman" w:eastAsia="宋体" w:cs="Times New Roman"/>
                <w:kern w:val="0"/>
                <w:sz w:val="18"/>
                <w:szCs w:val="18"/>
              </w:rPr>
              <w:t>仓储管理实务</w:t>
            </w:r>
          </w:p>
          <w:p>
            <w:pPr>
              <w:keepNext w:val="0"/>
              <w:keepLines w:val="0"/>
              <w:pageBreakBefore w:val="0"/>
              <w:widowControl w:val="0"/>
              <w:numPr>
                <w:ilvl w:val="0"/>
                <w:numId w:val="3"/>
              </w:numPr>
              <w:kinsoku/>
              <w:wordWrap/>
              <w:overflowPunct/>
              <w:topLinePunct w:val="0"/>
              <w:autoSpaceDE/>
              <w:autoSpaceDN/>
              <w:bidi w:val="0"/>
              <w:adjustRightInd/>
              <w:snapToGrid/>
              <w:ind w:left="283" w:hanging="283"/>
              <w:jc w:val="left"/>
              <w:textAlignment w:val="auto"/>
              <w:rPr>
                <w:rFonts w:hint="eastAsia" w:ascii="Times New Roman" w:hAnsi="Times New Roman" w:eastAsia="宋体" w:cs="Times New Roman"/>
                <w:kern w:val="0"/>
                <w:sz w:val="18"/>
                <w:szCs w:val="18"/>
              </w:rPr>
            </w:pPr>
            <w:r>
              <w:rPr>
                <w:rFonts w:hint="eastAsia" w:ascii="Times New Roman" w:hAnsi="Times New Roman" w:eastAsia="宋体" w:cs="Times New Roman"/>
                <w:kern w:val="0"/>
                <w:sz w:val="18"/>
                <w:szCs w:val="18"/>
              </w:rPr>
              <w:t>运输管理</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605" w:type="dxa"/>
            <w:shd w:val="clear" w:color="auto" w:fill="auto"/>
            <w:vAlign w:val="center"/>
          </w:tcPr>
          <w:p>
            <w:pPr>
              <w:jc w:val="center"/>
              <w:rPr>
                <w:kern w:val="0"/>
                <w:sz w:val="18"/>
                <w:szCs w:val="18"/>
              </w:rPr>
            </w:pPr>
            <w:r>
              <w:rPr>
                <w:rFonts w:hint="eastAsia"/>
                <w:kern w:val="0"/>
                <w:sz w:val="18"/>
                <w:szCs w:val="18"/>
              </w:rPr>
              <w:t>4</w:t>
            </w:r>
          </w:p>
        </w:tc>
        <w:tc>
          <w:tcPr>
            <w:tcW w:w="982" w:type="dxa"/>
            <w:shd w:val="clear" w:color="auto" w:fill="auto"/>
            <w:vAlign w:val="center"/>
          </w:tcPr>
          <w:p>
            <w:pPr>
              <w:jc w:val="center"/>
              <w:rPr>
                <w:kern w:val="0"/>
                <w:sz w:val="18"/>
                <w:szCs w:val="18"/>
              </w:rPr>
            </w:pPr>
            <w:r>
              <w:rPr>
                <w:rFonts w:hint="eastAsia" w:ascii="宋体" w:hAnsi="宋体" w:cs="宋体"/>
                <w:kern w:val="0"/>
                <w:sz w:val="20"/>
                <w:szCs w:val="20"/>
              </w:rPr>
              <w:t>生产作业管理员</w:t>
            </w:r>
          </w:p>
        </w:tc>
        <w:tc>
          <w:tcPr>
            <w:tcW w:w="1550" w:type="dxa"/>
            <w:shd w:val="clear" w:color="auto" w:fill="auto"/>
            <w:vAlign w:val="center"/>
          </w:tcPr>
          <w:p>
            <w:pPr>
              <w:keepNext w:val="0"/>
              <w:keepLines w:val="0"/>
              <w:pageBreakBefore w:val="0"/>
              <w:widowControl w:val="0"/>
              <w:numPr>
                <w:ilvl w:val="0"/>
                <w:numId w:val="1"/>
              </w:numPr>
              <w:kinsoku/>
              <w:wordWrap/>
              <w:overflowPunct/>
              <w:topLinePunct w:val="0"/>
              <w:autoSpaceDE/>
              <w:autoSpaceDN/>
              <w:bidi w:val="0"/>
              <w:adjustRightInd/>
              <w:snapToGrid/>
              <w:ind w:left="283" w:hanging="283"/>
              <w:jc w:val="both"/>
              <w:textAlignment w:val="auto"/>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工厂设施选址</w:t>
            </w:r>
          </w:p>
          <w:p>
            <w:pPr>
              <w:keepNext w:val="0"/>
              <w:keepLines w:val="0"/>
              <w:pageBreakBefore w:val="0"/>
              <w:widowControl w:val="0"/>
              <w:numPr>
                <w:ilvl w:val="0"/>
                <w:numId w:val="1"/>
              </w:numPr>
              <w:kinsoku/>
              <w:wordWrap/>
              <w:overflowPunct/>
              <w:topLinePunct w:val="0"/>
              <w:autoSpaceDE/>
              <w:autoSpaceDN/>
              <w:bidi w:val="0"/>
              <w:adjustRightInd/>
              <w:snapToGrid/>
              <w:ind w:left="283" w:hanging="283"/>
              <w:jc w:val="both"/>
              <w:textAlignment w:val="auto"/>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工厂总平面布置和车间平面布置</w:t>
            </w:r>
          </w:p>
          <w:p>
            <w:pPr>
              <w:keepNext w:val="0"/>
              <w:keepLines w:val="0"/>
              <w:pageBreakBefore w:val="0"/>
              <w:widowControl w:val="0"/>
              <w:numPr>
                <w:ilvl w:val="0"/>
                <w:numId w:val="1"/>
              </w:numPr>
              <w:kinsoku/>
              <w:wordWrap/>
              <w:overflowPunct/>
              <w:topLinePunct w:val="0"/>
              <w:autoSpaceDE/>
              <w:autoSpaceDN/>
              <w:bidi w:val="0"/>
              <w:adjustRightInd/>
              <w:snapToGrid/>
              <w:ind w:left="283" w:hanging="283"/>
              <w:jc w:val="both"/>
              <w:textAlignment w:val="auto"/>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生产能力校核</w:t>
            </w:r>
          </w:p>
          <w:p>
            <w:pPr>
              <w:keepNext w:val="0"/>
              <w:keepLines w:val="0"/>
              <w:pageBreakBefore w:val="0"/>
              <w:widowControl w:val="0"/>
              <w:numPr>
                <w:ilvl w:val="0"/>
                <w:numId w:val="1"/>
              </w:numPr>
              <w:kinsoku/>
              <w:wordWrap/>
              <w:overflowPunct/>
              <w:topLinePunct w:val="0"/>
              <w:autoSpaceDE/>
              <w:autoSpaceDN/>
              <w:bidi w:val="0"/>
              <w:adjustRightInd/>
              <w:snapToGrid/>
              <w:ind w:left="283" w:hanging="283"/>
              <w:jc w:val="both"/>
              <w:textAlignment w:val="auto"/>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生产计划的制定</w:t>
            </w:r>
          </w:p>
          <w:p>
            <w:pPr>
              <w:keepNext w:val="0"/>
              <w:keepLines w:val="0"/>
              <w:pageBreakBefore w:val="0"/>
              <w:widowControl w:val="0"/>
              <w:numPr>
                <w:ilvl w:val="0"/>
                <w:numId w:val="1"/>
              </w:numPr>
              <w:kinsoku/>
              <w:wordWrap/>
              <w:overflowPunct/>
              <w:topLinePunct w:val="0"/>
              <w:autoSpaceDE/>
              <w:autoSpaceDN/>
              <w:bidi w:val="0"/>
              <w:adjustRightInd/>
              <w:snapToGrid/>
              <w:ind w:left="283" w:hanging="283"/>
              <w:jc w:val="both"/>
              <w:textAlignment w:val="auto"/>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方法研究和作业测定</w:t>
            </w:r>
          </w:p>
          <w:p>
            <w:pPr>
              <w:keepNext w:val="0"/>
              <w:keepLines w:val="0"/>
              <w:pageBreakBefore w:val="0"/>
              <w:widowControl w:val="0"/>
              <w:numPr>
                <w:ilvl w:val="0"/>
                <w:numId w:val="1"/>
              </w:numPr>
              <w:kinsoku/>
              <w:wordWrap/>
              <w:overflowPunct/>
              <w:topLinePunct w:val="0"/>
              <w:autoSpaceDE/>
              <w:autoSpaceDN/>
              <w:bidi w:val="0"/>
              <w:adjustRightInd/>
              <w:snapToGrid/>
              <w:ind w:left="283" w:hanging="283"/>
              <w:jc w:val="both"/>
              <w:textAlignment w:val="auto"/>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产品质量控制</w:t>
            </w:r>
          </w:p>
        </w:tc>
        <w:tc>
          <w:tcPr>
            <w:tcW w:w="4718" w:type="dxa"/>
            <w:shd w:val="clear" w:color="auto" w:fill="auto"/>
            <w:vAlign w:val="center"/>
          </w:tcPr>
          <w:p>
            <w:pPr>
              <w:keepNext w:val="0"/>
              <w:keepLines w:val="0"/>
              <w:pageBreakBefore w:val="0"/>
              <w:widowControl w:val="0"/>
              <w:numPr>
                <w:ilvl w:val="0"/>
                <w:numId w:val="2"/>
              </w:numPr>
              <w:kinsoku/>
              <w:wordWrap/>
              <w:overflowPunct/>
              <w:topLinePunct w:val="0"/>
              <w:autoSpaceDE/>
              <w:autoSpaceDN/>
              <w:bidi w:val="0"/>
              <w:adjustRightInd/>
              <w:snapToGrid/>
              <w:ind w:left="283" w:hanging="283"/>
              <w:jc w:val="left"/>
              <w:textAlignment w:val="auto"/>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能结合某一工厂的产品特点、消费人群等条件分析可能影响该工厂选址的因素。</w:t>
            </w:r>
          </w:p>
          <w:p>
            <w:pPr>
              <w:keepNext w:val="0"/>
              <w:keepLines w:val="0"/>
              <w:pageBreakBefore w:val="0"/>
              <w:widowControl w:val="0"/>
              <w:numPr>
                <w:ilvl w:val="0"/>
                <w:numId w:val="2"/>
              </w:numPr>
              <w:kinsoku/>
              <w:wordWrap/>
              <w:overflowPunct/>
              <w:topLinePunct w:val="0"/>
              <w:autoSpaceDE/>
              <w:autoSpaceDN/>
              <w:bidi w:val="0"/>
              <w:adjustRightInd/>
              <w:snapToGrid/>
              <w:ind w:left="283" w:hanging="283"/>
              <w:jc w:val="left"/>
              <w:textAlignment w:val="auto"/>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能利用头脑风暴法和加权平均法对工厂候选地址进行选择。</w:t>
            </w:r>
          </w:p>
          <w:p>
            <w:pPr>
              <w:keepNext w:val="0"/>
              <w:keepLines w:val="0"/>
              <w:pageBreakBefore w:val="0"/>
              <w:widowControl w:val="0"/>
              <w:numPr>
                <w:ilvl w:val="0"/>
                <w:numId w:val="2"/>
              </w:numPr>
              <w:kinsoku/>
              <w:wordWrap/>
              <w:overflowPunct/>
              <w:topLinePunct w:val="0"/>
              <w:autoSpaceDE/>
              <w:autoSpaceDN/>
              <w:bidi w:val="0"/>
              <w:adjustRightInd/>
              <w:snapToGrid/>
              <w:ind w:left="283" w:hanging="283"/>
              <w:jc w:val="left"/>
              <w:textAlignment w:val="auto"/>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能利用物料运量图法和生产活动相互关系图对工厂总平面布置的初步方案进行分析并改善。</w:t>
            </w:r>
          </w:p>
          <w:p>
            <w:pPr>
              <w:keepNext w:val="0"/>
              <w:keepLines w:val="0"/>
              <w:pageBreakBefore w:val="0"/>
              <w:widowControl w:val="0"/>
              <w:numPr>
                <w:ilvl w:val="0"/>
                <w:numId w:val="2"/>
              </w:numPr>
              <w:kinsoku/>
              <w:wordWrap/>
              <w:overflowPunct/>
              <w:topLinePunct w:val="0"/>
              <w:autoSpaceDE/>
              <w:autoSpaceDN/>
              <w:bidi w:val="0"/>
              <w:adjustRightInd/>
              <w:snapToGrid/>
              <w:ind w:left="283" w:hanging="283"/>
              <w:jc w:val="left"/>
              <w:textAlignment w:val="auto"/>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能分析按对象专业化形式布置车间（流水线）和按工艺专业化形式布置车间的优缺点</w:t>
            </w:r>
          </w:p>
          <w:p>
            <w:pPr>
              <w:keepNext w:val="0"/>
              <w:keepLines w:val="0"/>
              <w:pageBreakBefore w:val="0"/>
              <w:widowControl w:val="0"/>
              <w:numPr>
                <w:ilvl w:val="0"/>
                <w:numId w:val="2"/>
              </w:numPr>
              <w:kinsoku/>
              <w:wordWrap/>
              <w:overflowPunct/>
              <w:topLinePunct w:val="0"/>
              <w:autoSpaceDE/>
              <w:autoSpaceDN/>
              <w:bidi w:val="0"/>
              <w:adjustRightInd/>
              <w:snapToGrid/>
              <w:ind w:left="283" w:hanging="283"/>
              <w:jc w:val="left"/>
              <w:textAlignment w:val="auto"/>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能利用Autocad软件进行简单的工厂总平面布置和车间平面布置</w:t>
            </w:r>
          </w:p>
          <w:p>
            <w:pPr>
              <w:keepNext w:val="0"/>
              <w:keepLines w:val="0"/>
              <w:pageBreakBefore w:val="0"/>
              <w:widowControl w:val="0"/>
              <w:numPr>
                <w:ilvl w:val="0"/>
                <w:numId w:val="2"/>
              </w:numPr>
              <w:kinsoku/>
              <w:wordWrap/>
              <w:overflowPunct/>
              <w:topLinePunct w:val="0"/>
              <w:autoSpaceDE/>
              <w:autoSpaceDN/>
              <w:bidi w:val="0"/>
              <w:adjustRightInd/>
              <w:snapToGrid/>
              <w:ind w:left="283" w:hanging="283"/>
              <w:jc w:val="left"/>
              <w:textAlignment w:val="auto"/>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能计算单一流水线节拍</w:t>
            </w:r>
          </w:p>
          <w:p>
            <w:pPr>
              <w:keepNext w:val="0"/>
              <w:keepLines w:val="0"/>
              <w:pageBreakBefore w:val="0"/>
              <w:widowControl w:val="0"/>
              <w:numPr>
                <w:ilvl w:val="0"/>
                <w:numId w:val="2"/>
              </w:numPr>
              <w:kinsoku/>
              <w:wordWrap/>
              <w:overflowPunct/>
              <w:topLinePunct w:val="0"/>
              <w:autoSpaceDE/>
              <w:autoSpaceDN/>
              <w:bidi w:val="0"/>
              <w:adjustRightInd/>
              <w:snapToGrid/>
              <w:ind w:left="283" w:hanging="283"/>
              <w:jc w:val="left"/>
              <w:textAlignment w:val="auto"/>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能利用工序同期化方法进行单一品种流水线的平衡改善。</w:t>
            </w:r>
          </w:p>
          <w:p>
            <w:pPr>
              <w:keepNext w:val="0"/>
              <w:keepLines w:val="0"/>
              <w:pageBreakBefore w:val="0"/>
              <w:widowControl w:val="0"/>
              <w:numPr>
                <w:ilvl w:val="0"/>
                <w:numId w:val="2"/>
              </w:numPr>
              <w:kinsoku/>
              <w:wordWrap/>
              <w:overflowPunct/>
              <w:topLinePunct w:val="0"/>
              <w:autoSpaceDE/>
              <w:autoSpaceDN/>
              <w:bidi w:val="0"/>
              <w:adjustRightInd/>
              <w:snapToGrid/>
              <w:ind w:left="283" w:hanging="283"/>
              <w:jc w:val="left"/>
              <w:textAlignment w:val="auto"/>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能利用代表产品法和劳动量比重法计算多品种可变流水线的节拍。</w:t>
            </w:r>
          </w:p>
          <w:p>
            <w:pPr>
              <w:keepNext w:val="0"/>
              <w:keepLines w:val="0"/>
              <w:pageBreakBefore w:val="0"/>
              <w:widowControl w:val="0"/>
              <w:numPr>
                <w:ilvl w:val="0"/>
                <w:numId w:val="2"/>
              </w:numPr>
              <w:kinsoku/>
              <w:wordWrap/>
              <w:overflowPunct/>
              <w:topLinePunct w:val="0"/>
              <w:autoSpaceDE/>
              <w:autoSpaceDN/>
              <w:bidi w:val="0"/>
              <w:adjustRightInd/>
              <w:snapToGrid/>
              <w:ind w:left="283" w:hanging="283"/>
              <w:jc w:val="left"/>
              <w:textAlignment w:val="auto"/>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能利用生产比倒数法计算多品种混合流水线的投产顺序</w:t>
            </w:r>
          </w:p>
          <w:p>
            <w:pPr>
              <w:keepNext w:val="0"/>
              <w:keepLines w:val="0"/>
              <w:pageBreakBefore w:val="0"/>
              <w:widowControl w:val="0"/>
              <w:numPr>
                <w:ilvl w:val="0"/>
                <w:numId w:val="2"/>
              </w:numPr>
              <w:kinsoku/>
              <w:wordWrap/>
              <w:overflowPunct/>
              <w:topLinePunct w:val="0"/>
              <w:autoSpaceDE/>
              <w:autoSpaceDN/>
              <w:bidi w:val="0"/>
              <w:adjustRightInd/>
              <w:snapToGrid/>
              <w:ind w:left="283" w:hanging="283"/>
              <w:jc w:val="left"/>
              <w:textAlignment w:val="auto"/>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能准确分析影响一个企业生产能力的因素</w:t>
            </w:r>
          </w:p>
          <w:p>
            <w:pPr>
              <w:keepNext w:val="0"/>
              <w:keepLines w:val="0"/>
              <w:pageBreakBefore w:val="0"/>
              <w:widowControl w:val="0"/>
              <w:numPr>
                <w:ilvl w:val="0"/>
                <w:numId w:val="2"/>
              </w:numPr>
              <w:kinsoku/>
              <w:wordWrap/>
              <w:overflowPunct/>
              <w:topLinePunct w:val="0"/>
              <w:autoSpaceDE/>
              <w:autoSpaceDN/>
              <w:bidi w:val="0"/>
              <w:adjustRightInd/>
              <w:snapToGrid/>
              <w:ind w:left="283" w:hanging="283"/>
              <w:jc w:val="left"/>
              <w:textAlignment w:val="auto"/>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能正确计算大批量生产类型（流水线）的生产能力</w:t>
            </w:r>
          </w:p>
          <w:p>
            <w:pPr>
              <w:keepNext w:val="0"/>
              <w:keepLines w:val="0"/>
              <w:pageBreakBefore w:val="0"/>
              <w:widowControl w:val="0"/>
              <w:numPr>
                <w:ilvl w:val="0"/>
                <w:numId w:val="2"/>
              </w:numPr>
              <w:kinsoku/>
              <w:wordWrap/>
              <w:overflowPunct/>
              <w:topLinePunct w:val="0"/>
              <w:autoSpaceDE/>
              <w:autoSpaceDN/>
              <w:bidi w:val="0"/>
              <w:adjustRightInd/>
              <w:snapToGrid/>
              <w:ind w:left="283" w:hanging="283"/>
              <w:jc w:val="left"/>
              <w:textAlignment w:val="auto"/>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能正确计算多品种小批量生产类型的生产能力，并能提出平衡各车间生产能力的措施。</w:t>
            </w:r>
          </w:p>
          <w:p>
            <w:pPr>
              <w:keepNext w:val="0"/>
              <w:keepLines w:val="0"/>
              <w:pageBreakBefore w:val="0"/>
              <w:widowControl w:val="0"/>
              <w:numPr>
                <w:ilvl w:val="0"/>
                <w:numId w:val="2"/>
              </w:numPr>
              <w:kinsoku/>
              <w:wordWrap/>
              <w:overflowPunct/>
              <w:topLinePunct w:val="0"/>
              <w:autoSpaceDE/>
              <w:autoSpaceDN/>
              <w:bidi w:val="0"/>
              <w:adjustRightInd/>
              <w:snapToGrid/>
              <w:ind w:left="283" w:hanging="283"/>
              <w:jc w:val="left"/>
              <w:textAlignment w:val="auto"/>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能根据企业订单、市场预测编制主生产计划</w:t>
            </w:r>
          </w:p>
          <w:p>
            <w:pPr>
              <w:keepNext w:val="0"/>
              <w:keepLines w:val="0"/>
              <w:pageBreakBefore w:val="0"/>
              <w:widowControl w:val="0"/>
              <w:numPr>
                <w:ilvl w:val="0"/>
                <w:numId w:val="2"/>
              </w:numPr>
              <w:kinsoku/>
              <w:wordWrap/>
              <w:overflowPunct/>
              <w:topLinePunct w:val="0"/>
              <w:autoSpaceDE/>
              <w:autoSpaceDN/>
              <w:bidi w:val="0"/>
              <w:adjustRightInd/>
              <w:snapToGrid/>
              <w:ind w:left="283" w:hanging="283"/>
              <w:jc w:val="left"/>
              <w:textAlignment w:val="auto"/>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能根据主生产计划、原材料库存信息和产品物料清单(BOM)编制物料需求计划</w:t>
            </w:r>
          </w:p>
          <w:p>
            <w:pPr>
              <w:keepNext w:val="0"/>
              <w:keepLines w:val="0"/>
              <w:pageBreakBefore w:val="0"/>
              <w:widowControl w:val="0"/>
              <w:numPr>
                <w:ilvl w:val="0"/>
                <w:numId w:val="2"/>
              </w:numPr>
              <w:kinsoku/>
              <w:wordWrap/>
              <w:overflowPunct/>
              <w:topLinePunct w:val="0"/>
              <w:autoSpaceDE/>
              <w:autoSpaceDN/>
              <w:bidi w:val="0"/>
              <w:adjustRightInd/>
              <w:snapToGrid/>
              <w:ind w:left="283" w:hanging="283"/>
              <w:jc w:val="left"/>
              <w:textAlignment w:val="auto"/>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能对企业生产过程进行工艺程序分析，并利用5W1H法、ECRS改善原则进行改进</w:t>
            </w:r>
          </w:p>
          <w:p>
            <w:pPr>
              <w:keepNext w:val="0"/>
              <w:keepLines w:val="0"/>
              <w:pageBreakBefore w:val="0"/>
              <w:widowControl w:val="0"/>
              <w:numPr>
                <w:ilvl w:val="0"/>
                <w:numId w:val="2"/>
              </w:numPr>
              <w:kinsoku/>
              <w:wordWrap/>
              <w:overflowPunct/>
              <w:topLinePunct w:val="0"/>
              <w:autoSpaceDE/>
              <w:autoSpaceDN/>
              <w:bidi w:val="0"/>
              <w:adjustRightInd/>
              <w:snapToGrid/>
              <w:ind w:left="283" w:hanging="283"/>
              <w:jc w:val="left"/>
              <w:textAlignment w:val="auto"/>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能对企业生产过程进行流程程序分析，并利用5W1H法、ECRS改善原则进行改进</w:t>
            </w:r>
          </w:p>
          <w:p>
            <w:pPr>
              <w:keepNext w:val="0"/>
              <w:keepLines w:val="0"/>
              <w:pageBreakBefore w:val="0"/>
              <w:widowControl w:val="0"/>
              <w:numPr>
                <w:ilvl w:val="0"/>
                <w:numId w:val="2"/>
              </w:numPr>
              <w:kinsoku/>
              <w:wordWrap/>
              <w:overflowPunct/>
              <w:topLinePunct w:val="0"/>
              <w:autoSpaceDE/>
              <w:autoSpaceDN/>
              <w:bidi w:val="0"/>
              <w:adjustRightInd/>
              <w:snapToGrid/>
              <w:ind w:left="283" w:hanging="283"/>
              <w:jc w:val="left"/>
              <w:textAlignment w:val="auto"/>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能对企业生产过程进行线路分析，并利用5W1H法、ECRS改善原则进行改进</w:t>
            </w:r>
          </w:p>
          <w:p>
            <w:pPr>
              <w:keepNext w:val="0"/>
              <w:keepLines w:val="0"/>
              <w:pageBreakBefore w:val="0"/>
              <w:widowControl w:val="0"/>
              <w:numPr>
                <w:ilvl w:val="0"/>
                <w:numId w:val="2"/>
              </w:numPr>
              <w:kinsoku/>
              <w:wordWrap/>
              <w:overflowPunct/>
              <w:topLinePunct w:val="0"/>
              <w:autoSpaceDE/>
              <w:autoSpaceDN/>
              <w:bidi w:val="0"/>
              <w:adjustRightInd/>
              <w:snapToGrid/>
              <w:ind w:left="283" w:hanging="283"/>
              <w:jc w:val="left"/>
              <w:textAlignment w:val="auto"/>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能对操作者的动作进行动作分析，并利用5W1H法、ECRS改善原则进行改进</w:t>
            </w:r>
          </w:p>
          <w:p>
            <w:pPr>
              <w:keepNext w:val="0"/>
              <w:keepLines w:val="0"/>
              <w:pageBreakBefore w:val="0"/>
              <w:widowControl w:val="0"/>
              <w:numPr>
                <w:ilvl w:val="0"/>
                <w:numId w:val="2"/>
              </w:numPr>
              <w:kinsoku/>
              <w:wordWrap/>
              <w:overflowPunct/>
              <w:topLinePunct w:val="0"/>
              <w:autoSpaceDE/>
              <w:autoSpaceDN/>
              <w:bidi w:val="0"/>
              <w:adjustRightInd/>
              <w:snapToGrid/>
              <w:ind w:left="283" w:hanging="283"/>
              <w:jc w:val="left"/>
              <w:textAlignment w:val="auto"/>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能利用码表对操作者的动作进行时间测定，并给出标准时间</w:t>
            </w:r>
          </w:p>
          <w:p>
            <w:pPr>
              <w:keepNext w:val="0"/>
              <w:keepLines w:val="0"/>
              <w:pageBreakBefore w:val="0"/>
              <w:widowControl w:val="0"/>
              <w:numPr>
                <w:ilvl w:val="0"/>
                <w:numId w:val="2"/>
              </w:numPr>
              <w:kinsoku/>
              <w:wordWrap/>
              <w:overflowPunct/>
              <w:topLinePunct w:val="0"/>
              <w:autoSpaceDE/>
              <w:autoSpaceDN/>
              <w:bidi w:val="0"/>
              <w:adjustRightInd/>
              <w:snapToGrid/>
              <w:ind w:left="283" w:hanging="283"/>
              <w:jc w:val="left"/>
              <w:textAlignment w:val="auto"/>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能利用QC七大手法对产品质量进行数据分析，并分析影响产品质量的问题，提出可能的改进措施</w:t>
            </w:r>
          </w:p>
        </w:tc>
        <w:tc>
          <w:tcPr>
            <w:tcW w:w="1623" w:type="dxa"/>
            <w:shd w:val="clear" w:color="auto" w:fill="auto"/>
            <w:vAlign w:val="center"/>
          </w:tcPr>
          <w:p>
            <w:pPr>
              <w:keepNext w:val="0"/>
              <w:keepLines w:val="0"/>
              <w:pageBreakBefore w:val="0"/>
              <w:widowControl w:val="0"/>
              <w:numPr>
                <w:ilvl w:val="0"/>
                <w:numId w:val="3"/>
              </w:numPr>
              <w:kinsoku/>
              <w:wordWrap/>
              <w:overflowPunct/>
              <w:topLinePunct w:val="0"/>
              <w:autoSpaceDE/>
              <w:autoSpaceDN/>
              <w:bidi w:val="0"/>
              <w:adjustRightInd/>
              <w:snapToGrid/>
              <w:ind w:left="283" w:hanging="283"/>
              <w:jc w:val="left"/>
              <w:textAlignment w:val="auto"/>
              <w:rPr>
                <w:rFonts w:hint="eastAsia" w:ascii="Times New Roman" w:hAnsi="Times New Roman" w:eastAsia="宋体" w:cs="Times New Roman"/>
                <w:kern w:val="0"/>
                <w:sz w:val="18"/>
                <w:szCs w:val="18"/>
              </w:rPr>
            </w:pPr>
            <w:r>
              <w:rPr>
                <w:rFonts w:hint="eastAsia" w:ascii="Times New Roman" w:hAnsi="Times New Roman" w:eastAsia="宋体" w:cs="Times New Roman"/>
                <w:kern w:val="0"/>
                <w:sz w:val="18"/>
                <w:szCs w:val="18"/>
              </w:rPr>
              <w:t>配送管理实务</w:t>
            </w:r>
          </w:p>
          <w:p>
            <w:pPr>
              <w:keepNext w:val="0"/>
              <w:keepLines w:val="0"/>
              <w:pageBreakBefore w:val="0"/>
              <w:widowControl w:val="0"/>
              <w:numPr>
                <w:ilvl w:val="0"/>
                <w:numId w:val="3"/>
              </w:numPr>
              <w:kinsoku/>
              <w:wordWrap/>
              <w:overflowPunct/>
              <w:topLinePunct w:val="0"/>
              <w:autoSpaceDE/>
              <w:autoSpaceDN/>
              <w:bidi w:val="0"/>
              <w:adjustRightInd/>
              <w:snapToGrid/>
              <w:ind w:left="283" w:hanging="283"/>
              <w:jc w:val="left"/>
              <w:textAlignment w:val="auto"/>
              <w:rPr>
                <w:rFonts w:hint="eastAsia" w:ascii="Times New Roman" w:hAnsi="Times New Roman" w:eastAsia="宋体" w:cs="Times New Roman"/>
                <w:kern w:val="0"/>
                <w:sz w:val="18"/>
                <w:szCs w:val="18"/>
              </w:rPr>
            </w:pPr>
            <w:r>
              <w:rPr>
                <w:rFonts w:hint="eastAsia" w:ascii="Times New Roman" w:hAnsi="Times New Roman" w:eastAsia="宋体" w:cs="Times New Roman"/>
                <w:kern w:val="0"/>
                <w:sz w:val="18"/>
                <w:szCs w:val="18"/>
              </w:rPr>
              <w:t>生产管理</w:t>
            </w:r>
          </w:p>
          <w:p>
            <w:pPr>
              <w:keepNext w:val="0"/>
              <w:keepLines w:val="0"/>
              <w:pageBreakBefore w:val="0"/>
              <w:widowControl w:val="0"/>
              <w:numPr>
                <w:ilvl w:val="0"/>
                <w:numId w:val="3"/>
              </w:numPr>
              <w:kinsoku/>
              <w:wordWrap/>
              <w:overflowPunct/>
              <w:topLinePunct w:val="0"/>
              <w:autoSpaceDE/>
              <w:autoSpaceDN/>
              <w:bidi w:val="0"/>
              <w:adjustRightInd/>
              <w:snapToGrid/>
              <w:ind w:left="283" w:hanging="283"/>
              <w:jc w:val="left"/>
              <w:textAlignment w:val="auto"/>
              <w:rPr>
                <w:rFonts w:hint="eastAsia" w:ascii="Times New Roman" w:hAnsi="Times New Roman" w:eastAsia="宋体" w:cs="Times New Roman"/>
                <w:kern w:val="0"/>
                <w:sz w:val="18"/>
                <w:szCs w:val="18"/>
              </w:rPr>
            </w:pPr>
            <w:r>
              <w:rPr>
                <w:rFonts w:hint="eastAsia" w:ascii="Times New Roman" w:hAnsi="Times New Roman" w:eastAsia="宋体" w:cs="Times New Roman"/>
                <w:kern w:val="0"/>
                <w:sz w:val="18"/>
                <w:szCs w:val="18"/>
              </w:rPr>
              <w:t>物流方案策划与设计</w:t>
            </w:r>
          </w:p>
          <w:p>
            <w:pPr>
              <w:keepNext w:val="0"/>
              <w:keepLines w:val="0"/>
              <w:pageBreakBefore w:val="0"/>
              <w:widowControl w:val="0"/>
              <w:numPr>
                <w:ilvl w:val="0"/>
                <w:numId w:val="3"/>
              </w:numPr>
              <w:kinsoku/>
              <w:wordWrap/>
              <w:overflowPunct/>
              <w:topLinePunct w:val="0"/>
              <w:autoSpaceDE/>
              <w:autoSpaceDN/>
              <w:bidi w:val="0"/>
              <w:adjustRightInd/>
              <w:snapToGrid/>
              <w:ind w:left="283" w:hanging="283"/>
              <w:jc w:val="left"/>
              <w:textAlignment w:val="auto"/>
              <w:rPr>
                <w:rFonts w:hint="eastAsia" w:ascii="Times New Roman" w:hAnsi="Times New Roman" w:eastAsia="宋体" w:cs="Times New Roman"/>
                <w:kern w:val="0"/>
                <w:sz w:val="18"/>
                <w:szCs w:val="18"/>
              </w:rPr>
            </w:pPr>
            <w:r>
              <w:rPr>
                <w:rFonts w:hint="eastAsia" w:ascii="Times New Roman" w:hAnsi="Times New Roman" w:eastAsia="宋体" w:cs="Times New Roman"/>
                <w:kern w:val="0"/>
                <w:sz w:val="18"/>
                <w:szCs w:val="18"/>
              </w:rPr>
              <w:t>物流信息管理</w:t>
            </w:r>
          </w:p>
        </w:tc>
      </w:tr>
    </w:tbl>
    <w:p>
      <w:pPr>
        <w:spacing w:line="400" w:lineRule="exact"/>
        <w:ind w:firstLine="480" w:firstLineChars="200"/>
        <w:jc w:val="left"/>
        <w:outlineLvl w:val="1"/>
        <w:rPr>
          <w:rFonts w:hint="eastAsia" w:ascii="黑体" w:hAnsi="黑体" w:eastAsia="黑体" w:cs="黑体"/>
          <w:b w:val="0"/>
          <w:bCs w:val="0"/>
          <w:kern w:val="0"/>
          <w:sz w:val="24"/>
          <w:szCs w:val="24"/>
        </w:rPr>
      </w:pPr>
      <w:r>
        <w:rPr>
          <w:rFonts w:hint="eastAsia" w:ascii="黑体" w:hAnsi="黑体" w:eastAsia="黑体" w:cs="黑体"/>
          <w:b w:val="0"/>
          <w:bCs w:val="0"/>
          <w:kern w:val="0"/>
          <w:sz w:val="24"/>
          <w:szCs w:val="24"/>
        </w:rPr>
        <w:t>五、培养目标与规格</w:t>
      </w:r>
    </w:p>
    <w:p>
      <w:pPr>
        <w:spacing w:line="400" w:lineRule="exact"/>
        <w:ind w:firstLine="422" w:firstLineChars="200"/>
        <w:jc w:val="left"/>
        <w:rPr>
          <w:b/>
          <w:bCs/>
          <w:color w:val="000000"/>
          <w:kern w:val="0"/>
          <w:szCs w:val="21"/>
        </w:rPr>
      </w:pPr>
      <w:r>
        <w:rPr>
          <w:b/>
          <w:bCs/>
          <w:color w:val="000000"/>
          <w:kern w:val="0"/>
          <w:szCs w:val="21"/>
        </w:rPr>
        <w:t>（一）培养目标定位</w:t>
      </w:r>
    </w:p>
    <w:p>
      <w:pPr>
        <w:spacing w:line="400" w:lineRule="exact"/>
        <w:ind w:firstLine="420" w:firstLineChars="200"/>
        <w:jc w:val="left"/>
        <w:rPr>
          <w:color w:val="FF0000"/>
          <w:kern w:val="0"/>
          <w:szCs w:val="21"/>
        </w:rPr>
      </w:pPr>
      <w:r>
        <w:rPr>
          <w:color w:val="000000"/>
          <w:kern w:val="0"/>
          <w:szCs w:val="21"/>
        </w:rPr>
        <w:t>本专业培养思想政治坚定、德技并修、德智体美劳全面发展的社会主义现代化建设事业的建设者和接班人，</w:t>
      </w:r>
      <w:r>
        <w:rPr>
          <w:kern w:val="0"/>
          <w:szCs w:val="21"/>
        </w:rPr>
        <w:t>围绕</w:t>
      </w:r>
      <w:r>
        <w:rPr>
          <w:rFonts w:hint="eastAsia"/>
          <w:kern w:val="0"/>
          <w:szCs w:val="21"/>
        </w:rPr>
        <w:t>湖州市智能物流装备等六大产业链和智慧电商物流</w:t>
      </w:r>
      <w:r>
        <w:rPr>
          <w:kern w:val="0"/>
          <w:szCs w:val="21"/>
        </w:rPr>
        <w:t>等产业高端发展的人才需求，面向</w:t>
      </w:r>
      <w:r>
        <w:rPr>
          <w:rFonts w:hint="eastAsia"/>
          <w:kern w:val="0"/>
          <w:szCs w:val="21"/>
        </w:rPr>
        <w:t>道路运输业、多式联运和运输代理业、装卸搬运和仓储业等</w:t>
      </w:r>
      <w:r>
        <w:rPr>
          <w:kern w:val="0"/>
          <w:szCs w:val="21"/>
        </w:rPr>
        <w:t>行业的</w:t>
      </w:r>
      <w:r>
        <w:rPr>
          <w:rFonts w:hint="eastAsia"/>
          <w:kern w:val="0"/>
          <w:szCs w:val="21"/>
        </w:rPr>
        <w:t>管理（工业）工程技术、运输服务、仓储、配送、采购等</w:t>
      </w:r>
      <w:r>
        <w:rPr>
          <w:kern w:val="0"/>
          <w:szCs w:val="21"/>
        </w:rPr>
        <w:t>职业（岗位群或技术领域），掌握扎实的</w:t>
      </w:r>
      <w:r>
        <w:rPr>
          <w:rFonts w:hint="eastAsia"/>
          <w:kern w:val="0"/>
          <w:szCs w:val="21"/>
        </w:rPr>
        <w:t>供应链管理、仓储管理、物流运输管理及物流营销</w:t>
      </w:r>
      <w:r>
        <w:rPr>
          <w:kern w:val="0"/>
          <w:szCs w:val="21"/>
        </w:rPr>
        <w:t>等知识，具备</w:t>
      </w:r>
      <w:r>
        <w:rPr>
          <w:rFonts w:hint="eastAsia"/>
          <w:kern w:val="0"/>
          <w:szCs w:val="21"/>
        </w:rPr>
        <w:t>配送、采购、仓储、供应链管理</w:t>
      </w:r>
      <w:r>
        <w:rPr>
          <w:kern w:val="0"/>
          <w:szCs w:val="21"/>
        </w:rPr>
        <w:t>等能力，能够从事</w:t>
      </w:r>
      <w:r>
        <w:rPr>
          <w:rFonts w:hint="eastAsia"/>
          <w:kern w:val="0"/>
          <w:szCs w:val="21"/>
        </w:rPr>
        <w:t>仓储一线管理、运输一线管理、物流销售、物流客户服务、生产车间一线管理、采购员、物流仓配系统的规划与设计等</w:t>
      </w:r>
      <w:r>
        <w:rPr>
          <w:kern w:val="0"/>
          <w:szCs w:val="21"/>
        </w:rPr>
        <w:t>工作的高素质技术技能人才。</w:t>
      </w:r>
    </w:p>
    <w:p>
      <w:pPr>
        <w:spacing w:line="400" w:lineRule="exact"/>
        <w:ind w:firstLine="422" w:firstLineChars="200"/>
        <w:jc w:val="left"/>
        <w:rPr>
          <w:rFonts w:eastAsiaTheme="minorEastAsia"/>
          <w:b/>
          <w:bCs/>
          <w:color w:val="000000"/>
          <w:kern w:val="0"/>
          <w:szCs w:val="21"/>
        </w:rPr>
      </w:pPr>
      <w:r>
        <w:rPr>
          <w:rFonts w:eastAsiaTheme="minorEastAsia"/>
          <w:b/>
          <w:bCs/>
          <w:color w:val="000000"/>
          <w:kern w:val="0"/>
          <w:szCs w:val="21"/>
        </w:rPr>
        <w:t>（二）培养规格</w:t>
      </w:r>
    </w:p>
    <w:p>
      <w:pPr>
        <w:spacing w:line="400" w:lineRule="exact"/>
        <w:ind w:firstLine="420" w:firstLineChars="200"/>
        <w:jc w:val="left"/>
        <w:rPr>
          <w:rFonts w:eastAsiaTheme="minorEastAsia"/>
          <w:color w:val="000000"/>
          <w:kern w:val="0"/>
          <w:szCs w:val="21"/>
        </w:rPr>
      </w:pPr>
      <w:r>
        <w:rPr>
          <w:rFonts w:eastAsiaTheme="minorEastAsia"/>
          <w:color w:val="000000"/>
          <w:kern w:val="0"/>
          <w:szCs w:val="21"/>
        </w:rPr>
        <w:t>本专业毕业生应在素质、知识和能力等方面达到以下要求：</w:t>
      </w:r>
    </w:p>
    <w:p>
      <w:pPr>
        <w:spacing w:line="400" w:lineRule="exact"/>
        <w:ind w:firstLine="422" w:firstLineChars="200"/>
        <w:jc w:val="left"/>
        <w:rPr>
          <w:rFonts w:eastAsiaTheme="minorEastAsia"/>
          <w:b/>
          <w:bCs/>
          <w:color w:val="000000"/>
          <w:kern w:val="0"/>
          <w:szCs w:val="21"/>
          <w:highlight w:val="none"/>
        </w:rPr>
      </w:pPr>
      <w:r>
        <w:rPr>
          <w:rFonts w:eastAsiaTheme="minorEastAsia"/>
          <w:b/>
          <w:bCs/>
          <w:color w:val="000000"/>
          <w:kern w:val="0"/>
          <w:szCs w:val="21"/>
          <w:highlight w:val="none"/>
        </w:rPr>
        <w:t>1 素质要求</w:t>
      </w:r>
    </w:p>
    <w:p>
      <w:pPr>
        <w:numPr>
          <w:ilvl w:val="0"/>
          <w:numId w:val="4"/>
        </w:numPr>
        <w:spacing w:line="400" w:lineRule="exact"/>
        <w:jc w:val="left"/>
        <w:rPr>
          <w:rFonts w:eastAsiaTheme="minorEastAsia"/>
          <w:color w:val="000000"/>
          <w:kern w:val="0"/>
          <w:szCs w:val="21"/>
        </w:rPr>
      </w:pPr>
      <w:r>
        <w:rPr>
          <w:rFonts w:eastAsiaTheme="minorEastAsia"/>
          <w:color w:val="000000"/>
          <w:kern w:val="0"/>
          <w:szCs w:val="21"/>
        </w:rPr>
        <w:t>坚定拥护中国共产党领导和我国社会主义制度，在习近平新时代中国特色社会主义思想指引下，践行社会主义核心价值观，具有深厚的爱国情感和中华民族自豪感；</w:t>
      </w:r>
    </w:p>
    <w:p>
      <w:pPr>
        <w:numPr>
          <w:ilvl w:val="0"/>
          <w:numId w:val="4"/>
        </w:numPr>
        <w:spacing w:line="400" w:lineRule="exact"/>
        <w:jc w:val="left"/>
        <w:rPr>
          <w:rFonts w:eastAsiaTheme="minorEastAsia"/>
          <w:color w:val="000000"/>
          <w:kern w:val="0"/>
          <w:szCs w:val="21"/>
        </w:rPr>
      </w:pPr>
      <w:r>
        <w:rPr>
          <w:rFonts w:eastAsiaTheme="minorEastAsia"/>
          <w:color w:val="000000"/>
          <w:kern w:val="0"/>
          <w:szCs w:val="21"/>
        </w:rPr>
        <w:t>崇尚宪法、遵法守纪、崇德向善、诚实守信、尊重生命、热爱劳动，履行道德准则和行为规范，具有社会责任感和社会参与意识</w:t>
      </w:r>
      <w:r>
        <w:rPr>
          <w:rFonts w:hint="eastAsia" w:eastAsiaTheme="minorEastAsia"/>
          <w:color w:val="000000"/>
          <w:kern w:val="0"/>
          <w:szCs w:val="21"/>
        </w:rPr>
        <w:t>，</w:t>
      </w:r>
      <w:r>
        <w:rPr>
          <w:rFonts w:hint="eastAsia" w:asciiTheme="minorEastAsia" w:hAnsiTheme="minorEastAsia" w:eastAsiaTheme="minorEastAsia" w:cstheme="minorEastAsia"/>
          <w:color w:val="000000"/>
          <w:kern w:val="0"/>
          <w:szCs w:val="21"/>
        </w:rPr>
        <w:t>理解并掌握国家有关涉及物流行业的法律法规；</w:t>
      </w:r>
    </w:p>
    <w:p>
      <w:pPr>
        <w:numPr>
          <w:ilvl w:val="0"/>
          <w:numId w:val="4"/>
        </w:numPr>
        <w:spacing w:line="400" w:lineRule="exact"/>
        <w:jc w:val="left"/>
        <w:rPr>
          <w:rFonts w:eastAsiaTheme="minorEastAsia"/>
          <w:color w:val="000000"/>
          <w:kern w:val="0"/>
          <w:szCs w:val="21"/>
        </w:rPr>
      </w:pPr>
      <w:r>
        <w:rPr>
          <w:rFonts w:eastAsiaTheme="minorEastAsia"/>
          <w:color w:val="000000"/>
          <w:kern w:val="0"/>
          <w:szCs w:val="21"/>
        </w:rPr>
        <w:t>具有质量意识、环保意识、安全意识、信息素养、工匠精神、创新思维</w:t>
      </w:r>
      <w:r>
        <w:rPr>
          <w:rFonts w:hint="eastAsia" w:eastAsiaTheme="minorEastAsia"/>
          <w:color w:val="000000"/>
          <w:kern w:val="0"/>
          <w:szCs w:val="21"/>
        </w:rPr>
        <w:t>、掌握绿色可持续物流的重要性</w:t>
      </w:r>
      <w:r>
        <w:rPr>
          <w:rFonts w:eastAsiaTheme="minorEastAsia"/>
          <w:color w:val="000000"/>
          <w:kern w:val="0"/>
          <w:szCs w:val="21"/>
        </w:rPr>
        <w:t>；</w:t>
      </w:r>
    </w:p>
    <w:p>
      <w:pPr>
        <w:numPr>
          <w:ilvl w:val="0"/>
          <w:numId w:val="4"/>
        </w:numPr>
        <w:spacing w:line="400" w:lineRule="exact"/>
        <w:jc w:val="left"/>
        <w:rPr>
          <w:rFonts w:eastAsiaTheme="minorEastAsia"/>
          <w:color w:val="000000"/>
          <w:kern w:val="0"/>
          <w:szCs w:val="21"/>
        </w:rPr>
      </w:pPr>
      <w:r>
        <w:rPr>
          <w:rFonts w:eastAsiaTheme="minorEastAsia"/>
          <w:color w:val="000000"/>
          <w:kern w:val="0"/>
          <w:szCs w:val="21"/>
        </w:rPr>
        <w:t>勇于奋斗、乐观向上，具有自我管理能力、职业生涯规划的意识，有较强的集体意识和团队合作精神；</w:t>
      </w:r>
    </w:p>
    <w:p>
      <w:pPr>
        <w:numPr>
          <w:ilvl w:val="0"/>
          <w:numId w:val="4"/>
        </w:numPr>
        <w:spacing w:line="400" w:lineRule="exact"/>
        <w:jc w:val="left"/>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具有健康的体魄，健全的人格，养成良好的健身与卫生习惯，良好的行为习惯；</w:t>
      </w:r>
    </w:p>
    <w:p>
      <w:pPr>
        <w:numPr>
          <w:ilvl w:val="0"/>
          <w:numId w:val="4"/>
        </w:numPr>
        <w:spacing w:line="400" w:lineRule="exact"/>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具有创新精神与创业意识；</w:t>
      </w:r>
    </w:p>
    <w:p>
      <w:pPr>
        <w:numPr>
          <w:ilvl w:val="0"/>
          <w:numId w:val="4"/>
        </w:numPr>
        <w:spacing w:line="400" w:lineRule="exact"/>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具有物流人的成本意识、服务意识，良好的沟通能力、协调能力、责任担当能力等物流核心职业素养。</w:t>
      </w:r>
    </w:p>
    <w:p>
      <w:pPr>
        <w:spacing w:line="400" w:lineRule="exact"/>
        <w:ind w:firstLine="422" w:firstLineChars="200"/>
        <w:jc w:val="left"/>
        <w:rPr>
          <w:rFonts w:eastAsiaTheme="minorEastAsia"/>
          <w:b/>
          <w:bCs/>
          <w:color w:val="000000"/>
          <w:kern w:val="0"/>
          <w:szCs w:val="21"/>
          <w:highlight w:val="none"/>
        </w:rPr>
      </w:pPr>
      <w:r>
        <w:rPr>
          <w:rFonts w:eastAsiaTheme="minorEastAsia"/>
          <w:b/>
          <w:bCs/>
          <w:color w:val="000000"/>
          <w:kern w:val="0"/>
          <w:szCs w:val="21"/>
          <w:highlight w:val="none"/>
        </w:rPr>
        <w:t>2</w:t>
      </w:r>
      <w:r>
        <w:rPr>
          <w:rFonts w:hint="eastAsia" w:eastAsiaTheme="minorEastAsia"/>
          <w:b/>
          <w:bCs/>
          <w:color w:val="000000"/>
          <w:kern w:val="0"/>
          <w:szCs w:val="21"/>
          <w:highlight w:val="none"/>
          <w:lang w:val="en-US" w:eastAsia="zh-CN"/>
        </w:rPr>
        <w:t xml:space="preserve"> </w:t>
      </w:r>
      <w:r>
        <w:rPr>
          <w:rFonts w:eastAsiaTheme="minorEastAsia"/>
          <w:b/>
          <w:bCs/>
          <w:color w:val="000000"/>
          <w:kern w:val="0"/>
          <w:szCs w:val="21"/>
          <w:highlight w:val="none"/>
        </w:rPr>
        <w:t>知识要求</w:t>
      </w:r>
    </w:p>
    <w:p>
      <w:pPr>
        <w:numPr>
          <w:ilvl w:val="0"/>
          <w:numId w:val="5"/>
        </w:numPr>
        <w:spacing w:line="400" w:lineRule="exact"/>
        <w:jc w:val="left"/>
        <w:rPr>
          <w:rFonts w:eastAsiaTheme="minorEastAsia"/>
          <w:kern w:val="0"/>
          <w:szCs w:val="21"/>
        </w:rPr>
      </w:pPr>
      <w:r>
        <w:rPr>
          <w:rFonts w:hint="eastAsia" w:eastAsiaTheme="minorEastAsia"/>
          <w:kern w:val="0"/>
          <w:szCs w:val="21"/>
        </w:rPr>
        <w:t>掌握物流及物流管理的各种基础知识；</w:t>
      </w:r>
      <w:r>
        <w:rPr>
          <w:rFonts w:eastAsiaTheme="minorEastAsia"/>
          <w:kern w:val="0"/>
          <w:szCs w:val="21"/>
        </w:rPr>
        <w:t>；</w:t>
      </w:r>
    </w:p>
    <w:p>
      <w:pPr>
        <w:numPr>
          <w:ilvl w:val="0"/>
          <w:numId w:val="5"/>
        </w:numPr>
        <w:spacing w:line="400" w:lineRule="exact"/>
        <w:jc w:val="left"/>
        <w:rPr>
          <w:rFonts w:eastAsiaTheme="minorEastAsia"/>
          <w:kern w:val="0"/>
          <w:szCs w:val="21"/>
        </w:rPr>
      </w:pPr>
      <w:r>
        <w:rPr>
          <w:rFonts w:eastAsiaTheme="minorEastAsia"/>
          <w:kern w:val="0"/>
          <w:szCs w:val="21"/>
        </w:rPr>
        <w:t>熟悉</w:t>
      </w:r>
      <w:r>
        <w:rPr>
          <w:rFonts w:hint="eastAsia" w:eastAsiaTheme="minorEastAsia"/>
          <w:kern w:val="0"/>
          <w:szCs w:val="21"/>
        </w:rPr>
        <w:t>本专业相关的法律法规以及环境保护、安全文明生产等相关知识</w:t>
      </w:r>
      <w:r>
        <w:rPr>
          <w:rFonts w:eastAsiaTheme="minorEastAsia"/>
          <w:kern w:val="0"/>
          <w:szCs w:val="21"/>
        </w:rPr>
        <w:t>；</w:t>
      </w:r>
    </w:p>
    <w:p>
      <w:pPr>
        <w:numPr>
          <w:ilvl w:val="0"/>
          <w:numId w:val="5"/>
        </w:numPr>
        <w:spacing w:line="400" w:lineRule="exact"/>
        <w:jc w:val="left"/>
        <w:rPr>
          <w:rFonts w:eastAsiaTheme="minorEastAsia"/>
          <w:kern w:val="0"/>
          <w:szCs w:val="21"/>
        </w:rPr>
      </w:pPr>
      <w:r>
        <w:rPr>
          <w:rFonts w:hint="eastAsia" w:eastAsiaTheme="minorEastAsia"/>
          <w:kern w:val="0"/>
          <w:szCs w:val="21"/>
        </w:rPr>
        <w:t>掌握B2B、B2C等电子商务模式、交易等基础知识</w:t>
      </w:r>
      <w:r>
        <w:rPr>
          <w:rFonts w:eastAsiaTheme="minorEastAsia"/>
          <w:kern w:val="0"/>
          <w:szCs w:val="21"/>
        </w:rPr>
        <w:t>；</w:t>
      </w:r>
    </w:p>
    <w:p>
      <w:pPr>
        <w:numPr>
          <w:ilvl w:val="0"/>
          <w:numId w:val="5"/>
        </w:numPr>
        <w:spacing w:line="400" w:lineRule="exact"/>
        <w:jc w:val="left"/>
        <w:rPr>
          <w:rFonts w:eastAsiaTheme="minorEastAsia"/>
          <w:kern w:val="0"/>
          <w:szCs w:val="21"/>
        </w:rPr>
      </w:pPr>
      <w:r>
        <w:rPr>
          <w:rFonts w:hint="eastAsia" w:eastAsiaTheme="minorEastAsia"/>
          <w:kern w:val="0"/>
          <w:szCs w:val="21"/>
        </w:rPr>
        <w:t>掌握仓储货物的入库检验、入库堆码、在库盘点、库存分析与控制等专业知识</w:t>
      </w:r>
      <w:r>
        <w:rPr>
          <w:rFonts w:eastAsiaTheme="minorEastAsia"/>
          <w:kern w:val="0"/>
          <w:szCs w:val="21"/>
        </w:rPr>
        <w:t>；</w:t>
      </w:r>
    </w:p>
    <w:p>
      <w:pPr>
        <w:numPr>
          <w:ilvl w:val="0"/>
          <w:numId w:val="5"/>
        </w:numPr>
        <w:spacing w:line="400" w:lineRule="exact"/>
        <w:jc w:val="left"/>
        <w:rPr>
          <w:rFonts w:eastAsiaTheme="minorEastAsia"/>
          <w:kern w:val="0"/>
          <w:szCs w:val="21"/>
        </w:rPr>
      </w:pPr>
      <w:r>
        <w:rPr>
          <w:rFonts w:hint="eastAsia" w:eastAsiaTheme="minorEastAsia"/>
          <w:kern w:val="0"/>
          <w:szCs w:val="21"/>
        </w:rPr>
        <w:t>掌握配送中心订单处理、商品拣选、商品包装及分拣等专业知识</w:t>
      </w:r>
      <w:r>
        <w:rPr>
          <w:rFonts w:eastAsiaTheme="minorEastAsia"/>
          <w:kern w:val="0"/>
          <w:szCs w:val="21"/>
        </w:rPr>
        <w:t>；</w:t>
      </w:r>
    </w:p>
    <w:p>
      <w:pPr>
        <w:numPr>
          <w:ilvl w:val="0"/>
          <w:numId w:val="5"/>
        </w:numPr>
        <w:spacing w:line="400" w:lineRule="exact"/>
        <w:jc w:val="left"/>
        <w:rPr>
          <w:rFonts w:eastAsiaTheme="minorEastAsia"/>
          <w:kern w:val="0"/>
          <w:szCs w:val="21"/>
        </w:rPr>
      </w:pPr>
      <w:r>
        <w:rPr>
          <w:rFonts w:hint="eastAsia" w:eastAsiaTheme="minorEastAsia"/>
          <w:kern w:val="0"/>
          <w:szCs w:val="21"/>
        </w:rPr>
        <w:t>掌握RFID、条码、RF手持扫描、仓储管理系统等现代物流信息技术的专业知识</w:t>
      </w:r>
      <w:r>
        <w:rPr>
          <w:rFonts w:eastAsiaTheme="minorEastAsia"/>
          <w:kern w:val="0"/>
          <w:szCs w:val="21"/>
        </w:rPr>
        <w:t>；</w:t>
      </w:r>
    </w:p>
    <w:p>
      <w:pPr>
        <w:numPr>
          <w:ilvl w:val="0"/>
          <w:numId w:val="5"/>
        </w:numPr>
        <w:spacing w:line="400" w:lineRule="exact"/>
        <w:jc w:val="left"/>
        <w:rPr>
          <w:rFonts w:eastAsiaTheme="minorEastAsia"/>
          <w:kern w:val="0"/>
          <w:szCs w:val="21"/>
        </w:rPr>
      </w:pPr>
      <w:r>
        <w:rPr>
          <w:rFonts w:hint="eastAsia" w:eastAsiaTheme="minorEastAsia"/>
          <w:kern w:val="0"/>
          <w:szCs w:val="21"/>
        </w:rPr>
        <w:t>掌握质量控制7大手法等相关专业知识</w:t>
      </w:r>
      <w:r>
        <w:rPr>
          <w:rFonts w:eastAsiaTheme="minorEastAsia"/>
          <w:kern w:val="0"/>
          <w:szCs w:val="21"/>
        </w:rPr>
        <w:t>；</w:t>
      </w:r>
    </w:p>
    <w:p>
      <w:pPr>
        <w:numPr>
          <w:ilvl w:val="0"/>
          <w:numId w:val="5"/>
        </w:numPr>
        <w:spacing w:line="400" w:lineRule="exact"/>
        <w:jc w:val="left"/>
        <w:rPr>
          <w:rFonts w:eastAsiaTheme="minorEastAsia"/>
          <w:kern w:val="0"/>
          <w:szCs w:val="21"/>
        </w:rPr>
      </w:pPr>
      <w:r>
        <w:rPr>
          <w:rFonts w:hint="eastAsia" w:eastAsiaTheme="minorEastAsia"/>
          <w:kern w:val="0"/>
          <w:szCs w:val="21"/>
        </w:rPr>
        <w:t>掌握绩效管理的程序和常用工具如关键绩效指标（KPI）、平衡计分卡（BSC）等</w:t>
      </w:r>
      <w:r>
        <w:rPr>
          <w:rFonts w:eastAsiaTheme="minorEastAsia"/>
          <w:kern w:val="0"/>
          <w:szCs w:val="21"/>
        </w:rPr>
        <w:t>。</w:t>
      </w:r>
    </w:p>
    <w:p>
      <w:pPr>
        <w:spacing w:line="400" w:lineRule="exact"/>
        <w:ind w:firstLine="422" w:firstLineChars="200"/>
        <w:jc w:val="left"/>
        <w:rPr>
          <w:rFonts w:eastAsiaTheme="minorEastAsia"/>
          <w:b/>
          <w:bCs/>
          <w:color w:val="000000"/>
          <w:kern w:val="0"/>
          <w:szCs w:val="21"/>
          <w:highlight w:val="none"/>
        </w:rPr>
      </w:pPr>
      <w:r>
        <w:rPr>
          <w:rFonts w:eastAsiaTheme="minorEastAsia"/>
          <w:b/>
          <w:bCs/>
          <w:color w:val="000000"/>
          <w:kern w:val="0"/>
          <w:szCs w:val="21"/>
          <w:highlight w:val="none"/>
        </w:rPr>
        <w:t>3</w:t>
      </w:r>
      <w:r>
        <w:rPr>
          <w:rFonts w:hint="eastAsia" w:eastAsiaTheme="minorEastAsia"/>
          <w:b/>
          <w:bCs/>
          <w:color w:val="000000"/>
          <w:kern w:val="0"/>
          <w:szCs w:val="21"/>
          <w:highlight w:val="none"/>
          <w:lang w:val="en-US" w:eastAsia="zh-CN"/>
        </w:rPr>
        <w:t xml:space="preserve"> </w:t>
      </w:r>
      <w:r>
        <w:rPr>
          <w:rFonts w:eastAsiaTheme="minorEastAsia"/>
          <w:b/>
          <w:bCs/>
          <w:color w:val="000000"/>
          <w:kern w:val="0"/>
          <w:szCs w:val="21"/>
          <w:highlight w:val="none"/>
        </w:rPr>
        <w:t>专业能力要求</w:t>
      </w:r>
    </w:p>
    <w:p>
      <w:pPr>
        <w:numPr>
          <w:ilvl w:val="0"/>
          <w:numId w:val="6"/>
        </w:numPr>
        <w:spacing w:line="400" w:lineRule="exact"/>
        <w:jc w:val="left"/>
        <w:rPr>
          <w:rFonts w:eastAsiaTheme="minorEastAsia"/>
          <w:kern w:val="0"/>
          <w:szCs w:val="21"/>
        </w:rPr>
      </w:pPr>
      <w:r>
        <w:rPr>
          <w:rFonts w:hint="eastAsia" w:eastAsiaTheme="minorEastAsia"/>
          <w:kern w:val="0"/>
          <w:szCs w:val="21"/>
        </w:rPr>
        <w:t>具有探究学习、终身学习、分析问题和解决问题的能力</w:t>
      </w:r>
      <w:r>
        <w:rPr>
          <w:rFonts w:eastAsiaTheme="minorEastAsia"/>
          <w:kern w:val="0"/>
          <w:szCs w:val="21"/>
        </w:rPr>
        <w:t>；</w:t>
      </w:r>
    </w:p>
    <w:p>
      <w:pPr>
        <w:numPr>
          <w:ilvl w:val="0"/>
          <w:numId w:val="6"/>
        </w:numPr>
        <w:spacing w:line="400" w:lineRule="exact"/>
        <w:jc w:val="left"/>
        <w:rPr>
          <w:rFonts w:eastAsiaTheme="minorEastAsia"/>
          <w:kern w:val="0"/>
          <w:szCs w:val="21"/>
        </w:rPr>
      </w:pPr>
      <w:r>
        <w:rPr>
          <w:rFonts w:hint="eastAsia" w:eastAsiaTheme="minorEastAsia"/>
          <w:kern w:val="0"/>
          <w:szCs w:val="21"/>
        </w:rPr>
        <w:t>具有良好的语言、文字表达能力和沟通能力</w:t>
      </w:r>
      <w:r>
        <w:rPr>
          <w:rFonts w:eastAsiaTheme="minorEastAsia"/>
          <w:kern w:val="0"/>
          <w:szCs w:val="21"/>
        </w:rPr>
        <w:t>；</w:t>
      </w:r>
    </w:p>
    <w:p>
      <w:pPr>
        <w:numPr>
          <w:ilvl w:val="0"/>
          <w:numId w:val="5"/>
        </w:numPr>
        <w:spacing w:line="400" w:lineRule="exact"/>
        <w:jc w:val="left"/>
        <w:rPr>
          <w:rFonts w:eastAsiaTheme="minorEastAsia"/>
          <w:kern w:val="0"/>
          <w:szCs w:val="21"/>
        </w:rPr>
      </w:pPr>
      <w:r>
        <w:rPr>
          <w:rFonts w:hint="eastAsia" w:eastAsiaTheme="minorEastAsia"/>
          <w:kern w:val="0"/>
          <w:szCs w:val="21"/>
        </w:rPr>
        <w:t>能够熟练地进行仓储货物的验收、入库RF扫描、堆码、分拣、盘点、包装、出库理货、出库验收及仓储成本核算等一线作业</w:t>
      </w:r>
      <w:r>
        <w:rPr>
          <w:rFonts w:eastAsiaTheme="minorEastAsia"/>
          <w:kern w:val="0"/>
          <w:szCs w:val="21"/>
        </w:rPr>
        <w:t>；</w:t>
      </w:r>
    </w:p>
    <w:p>
      <w:pPr>
        <w:numPr>
          <w:ilvl w:val="0"/>
          <w:numId w:val="5"/>
        </w:numPr>
        <w:spacing w:line="400" w:lineRule="exact"/>
        <w:jc w:val="left"/>
        <w:rPr>
          <w:rFonts w:eastAsiaTheme="minorEastAsia"/>
          <w:kern w:val="0"/>
          <w:szCs w:val="21"/>
        </w:rPr>
      </w:pPr>
      <w:r>
        <w:rPr>
          <w:rFonts w:hint="eastAsia" w:eastAsiaTheme="minorEastAsia"/>
          <w:kern w:val="0"/>
          <w:szCs w:val="21"/>
        </w:rPr>
        <w:t>能够准确根据配送任务制定配送计划、完成配送中心入库、在库管理、出库一线业务操作，能进行简单的配送中心规划</w:t>
      </w:r>
      <w:r>
        <w:rPr>
          <w:rFonts w:eastAsiaTheme="minorEastAsia"/>
          <w:kern w:val="0"/>
          <w:szCs w:val="21"/>
        </w:rPr>
        <w:t>；</w:t>
      </w:r>
    </w:p>
    <w:p>
      <w:pPr>
        <w:numPr>
          <w:ilvl w:val="0"/>
          <w:numId w:val="5"/>
        </w:numPr>
        <w:spacing w:line="400" w:lineRule="exact"/>
        <w:jc w:val="left"/>
        <w:rPr>
          <w:rFonts w:eastAsiaTheme="minorEastAsia"/>
          <w:kern w:val="0"/>
          <w:szCs w:val="21"/>
        </w:rPr>
      </w:pPr>
      <w:r>
        <w:rPr>
          <w:rFonts w:hint="eastAsia" w:eastAsiaTheme="minorEastAsia"/>
          <w:kern w:val="0"/>
          <w:szCs w:val="21"/>
        </w:rPr>
        <w:t>能够运用5S管理的技术对仓储配送作业现场进行相应的管理</w:t>
      </w:r>
      <w:r>
        <w:rPr>
          <w:rFonts w:eastAsiaTheme="minorEastAsia"/>
          <w:kern w:val="0"/>
          <w:szCs w:val="21"/>
        </w:rPr>
        <w:t>；</w:t>
      </w:r>
    </w:p>
    <w:p>
      <w:pPr>
        <w:numPr>
          <w:ilvl w:val="0"/>
          <w:numId w:val="5"/>
        </w:numPr>
        <w:spacing w:line="400" w:lineRule="exact"/>
        <w:jc w:val="left"/>
        <w:rPr>
          <w:rFonts w:eastAsiaTheme="minorEastAsia"/>
          <w:kern w:val="0"/>
          <w:szCs w:val="21"/>
        </w:rPr>
      </w:pPr>
      <w:r>
        <w:rPr>
          <w:rFonts w:hint="eastAsia" w:eastAsiaTheme="minorEastAsia"/>
          <w:kern w:val="0"/>
          <w:szCs w:val="21"/>
        </w:rPr>
        <w:t>能够熟练地运用各种现代物流信息技术和装备，如RF手持终端、地牛、高架叉车、WMS仓储管理系统等</w:t>
      </w:r>
      <w:r>
        <w:rPr>
          <w:rFonts w:eastAsiaTheme="minorEastAsia"/>
          <w:kern w:val="0"/>
          <w:szCs w:val="21"/>
        </w:rPr>
        <w:t>；</w:t>
      </w:r>
    </w:p>
    <w:p>
      <w:pPr>
        <w:numPr>
          <w:ilvl w:val="0"/>
          <w:numId w:val="5"/>
        </w:numPr>
        <w:spacing w:line="400" w:lineRule="exact"/>
        <w:jc w:val="left"/>
        <w:rPr>
          <w:rFonts w:eastAsiaTheme="minorEastAsia"/>
          <w:kern w:val="0"/>
          <w:szCs w:val="21"/>
        </w:rPr>
      </w:pPr>
      <w:r>
        <w:rPr>
          <w:rFonts w:hint="eastAsia" w:eastAsiaTheme="minorEastAsia"/>
          <w:kern w:val="0"/>
          <w:szCs w:val="21"/>
        </w:rPr>
        <w:t>能运用Excel等数据统计工具，对各种运营数据进行相应的处理，并发现运营过程中存在问题的原因，提出对应的解决措施</w:t>
      </w:r>
      <w:r>
        <w:rPr>
          <w:rFonts w:eastAsiaTheme="minorEastAsia"/>
          <w:kern w:val="0"/>
          <w:szCs w:val="21"/>
        </w:rPr>
        <w:t>；</w:t>
      </w:r>
    </w:p>
    <w:p>
      <w:pPr>
        <w:numPr>
          <w:ilvl w:val="0"/>
          <w:numId w:val="5"/>
        </w:numPr>
        <w:spacing w:line="400" w:lineRule="exact"/>
        <w:jc w:val="left"/>
        <w:rPr>
          <w:rFonts w:eastAsiaTheme="minorEastAsia"/>
          <w:kern w:val="0"/>
          <w:szCs w:val="21"/>
        </w:rPr>
      </w:pPr>
      <w:r>
        <w:rPr>
          <w:rFonts w:hint="eastAsia" w:eastAsiaTheme="minorEastAsia"/>
          <w:kern w:val="0"/>
          <w:szCs w:val="21"/>
        </w:rPr>
        <w:t>能运用常见质量管理工具如检查表、排列图、直方图、因果分析图等，对作业现场进行有效地质量控制，以降低作业现场的异常率、提高人员出勤率和生产效率</w:t>
      </w:r>
      <w:r>
        <w:rPr>
          <w:rFonts w:eastAsiaTheme="minorEastAsia"/>
          <w:kern w:val="0"/>
          <w:szCs w:val="21"/>
        </w:rPr>
        <w:t>。</w:t>
      </w:r>
    </w:p>
    <w:p>
      <w:pPr>
        <w:spacing w:line="400" w:lineRule="exact"/>
        <w:ind w:firstLine="480" w:firstLineChars="200"/>
        <w:jc w:val="left"/>
        <w:outlineLvl w:val="1"/>
        <w:rPr>
          <w:rFonts w:hint="eastAsia" w:ascii="黑体" w:hAnsi="黑体" w:eastAsia="黑体" w:cs="黑体"/>
          <w:b w:val="0"/>
          <w:bCs w:val="0"/>
          <w:kern w:val="0"/>
          <w:sz w:val="24"/>
          <w:szCs w:val="24"/>
        </w:rPr>
      </w:pPr>
      <w:r>
        <w:rPr>
          <w:rFonts w:hint="eastAsia" w:ascii="黑体" w:hAnsi="黑体" w:eastAsia="黑体" w:cs="黑体"/>
          <w:b w:val="0"/>
          <w:bCs w:val="0"/>
          <w:kern w:val="0"/>
          <w:sz w:val="24"/>
          <w:szCs w:val="24"/>
        </w:rPr>
        <w:t>六、课程设置</w:t>
      </w:r>
    </w:p>
    <w:p>
      <w:pPr>
        <w:spacing w:line="400" w:lineRule="exact"/>
        <w:ind w:firstLine="422" w:firstLineChars="200"/>
        <w:jc w:val="left"/>
        <w:rPr>
          <w:b/>
          <w:bCs/>
          <w:color w:val="000000"/>
          <w:kern w:val="0"/>
          <w:szCs w:val="21"/>
        </w:rPr>
      </w:pPr>
      <w:r>
        <w:rPr>
          <w:b/>
          <w:bCs/>
          <w:color w:val="000000"/>
          <w:kern w:val="0"/>
          <w:szCs w:val="21"/>
        </w:rPr>
        <w:t>（一）课程体系结构</w:t>
      </w:r>
    </w:p>
    <w:p>
      <w:pPr>
        <w:spacing w:line="400" w:lineRule="exact"/>
        <w:ind w:firstLine="420" w:firstLineChars="200"/>
        <w:jc w:val="left"/>
        <w:rPr>
          <w:color w:val="FF0000"/>
          <w:kern w:val="0"/>
          <w:szCs w:val="21"/>
        </w:rPr>
      </w:pPr>
      <w:r>
        <w:rPr>
          <w:color w:val="000000"/>
          <w:kern w:val="0"/>
          <w:szCs w:val="21"/>
        </w:rPr>
        <w:t>依据国家教育政策、教育教学规律和学生认知发展规律，根据岗位群工作任务与职业能力分析结果，结合 1+X 证书制度、模块化课程等教育教学改革方向，构建课程体系。</w:t>
      </w:r>
    </w:p>
    <w:p>
      <w:pPr>
        <w:ind w:firstLine="361" w:firstLineChars="200"/>
        <w:jc w:val="center"/>
      </w:pPr>
      <w:r>
        <w:rPr>
          <w:rFonts w:hint="eastAsia"/>
          <w:b/>
          <w:bCs/>
          <w:sz w:val="18"/>
          <w:szCs w:val="18"/>
        </w:rPr>
        <w:object>
          <v:shape id="_x0000_i1025" o:spt="75" alt="" type="#_x0000_t75" style="height:146.2pt;width:415pt;" o:ole="t" filled="f" o:preferrelative="t" stroked="f" coordsize="21600,21600">
            <v:path/>
            <v:fill on="f" focussize="0,0"/>
            <v:stroke on="f"/>
            <v:imagedata r:id="rId5" o:title=""/>
            <o:lock v:ext="edit" aspectratio="f"/>
            <w10:wrap type="none"/>
            <w10:anchorlock/>
          </v:shape>
          <o:OLEObject Type="Embed" ProgID="Visio.Drawing.11" ShapeID="_x0000_i1025" DrawAspect="Content" ObjectID="_1468075725" r:id="rId4">
            <o:LockedField>false</o:LockedField>
          </o:OLEObject>
        </w:object>
      </w:r>
      <w:r>
        <w:rPr>
          <w:rFonts w:hint="eastAsia"/>
          <w:b/>
          <w:bCs/>
          <w:sz w:val="18"/>
          <w:szCs w:val="18"/>
        </w:rPr>
        <w:t>图1 课程体系</w:t>
      </w:r>
    </w:p>
    <w:p>
      <w:pPr>
        <w:ind w:firstLine="422" w:firstLineChars="200"/>
        <w:jc w:val="left"/>
        <w:rPr>
          <w:b/>
          <w:bCs/>
          <w:color w:val="000000"/>
          <w:kern w:val="0"/>
          <w:szCs w:val="21"/>
        </w:rPr>
      </w:pPr>
      <w:r>
        <w:rPr>
          <w:b/>
          <w:bCs/>
          <w:color w:val="000000"/>
          <w:kern w:val="0"/>
          <w:szCs w:val="21"/>
        </w:rPr>
        <w:t>（二）公共基础课教学内容与要求</w:t>
      </w:r>
      <w:bookmarkStart w:id="2" w:name="_GoBack"/>
      <w:bookmarkEnd w:id="2"/>
    </w:p>
    <w:p>
      <w:pPr>
        <w:pStyle w:val="5"/>
        <w:keepNext/>
        <w:jc w:val="center"/>
        <w:rPr>
          <w:rFonts w:ascii="Times New Roman" w:hAnsi="Times New Roman" w:eastAsia="宋体"/>
          <w:b/>
          <w:bCs/>
          <w:sz w:val="18"/>
          <w:szCs w:val="18"/>
        </w:rPr>
      </w:pPr>
      <w:r>
        <w:rPr>
          <w:rFonts w:ascii="Times New Roman" w:hAnsi="Times New Roman" w:eastAsia="宋体"/>
          <w:b/>
          <w:bCs/>
          <w:sz w:val="18"/>
          <w:szCs w:val="18"/>
        </w:rPr>
        <w:t>表</w:t>
      </w:r>
      <w:r>
        <w:rPr>
          <w:rFonts w:ascii="Times New Roman" w:hAnsi="Times New Roman" w:eastAsia="宋体"/>
          <w:b/>
          <w:bCs/>
          <w:sz w:val="18"/>
          <w:szCs w:val="18"/>
        </w:rPr>
        <w:fldChar w:fldCharType="begin"/>
      </w:r>
      <w:r>
        <w:rPr>
          <w:rFonts w:ascii="Times New Roman" w:hAnsi="Times New Roman" w:eastAsia="宋体"/>
          <w:b/>
          <w:bCs/>
          <w:sz w:val="18"/>
          <w:szCs w:val="18"/>
        </w:rPr>
        <w:instrText xml:space="preserve"> SEQ 表 \* ARABIC </w:instrText>
      </w:r>
      <w:r>
        <w:rPr>
          <w:rFonts w:ascii="Times New Roman" w:hAnsi="Times New Roman" w:eastAsia="宋体"/>
          <w:b/>
          <w:bCs/>
          <w:sz w:val="18"/>
          <w:szCs w:val="18"/>
        </w:rPr>
        <w:fldChar w:fldCharType="separate"/>
      </w:r>
      <w:r>
        <w:rPr>
          <w:rFonts w:ascii="Times New Roman" w:hAnsi="Times New Roman" w:eastAsia="宋体"/>
          <w:b/>
          <w:bCs/>
          <w:sz w:val="18"/>
          <w:szCs w:val="18"/>
        </w:rPr>
        <w:t>4</w:t>
      </w:r>
      <w:r>
        <w:rPr>
          <w:rFonts w:ascii="Times New Roman" w:hAnsi="Times New Roman" w:eastAsia="宋体"/>
          <w:b/>
          <w:bCs/>
          <w:sz w:val="18"/>
          <w:szCs w:val="18"/>
        </w:rPr>
        <w:fldChar w:fldCharType="end"/>
      </w:r>
      <w:r>
        <w:rPr>
          <w:rFonts w:ascii="Times New Roman" w:hAnsi="Times New Roman" w:eastAsia="宋体"/>
          <w:b/>
          <w:bCs/>
          <w:sz w:val="18"/>
          <w:szCs w:val="18"/>
        </w:rPr>
        <w:t>公共基础课</w:t>
      </w:r>
      <w:r>
        <w:rPr>
          <w:rFonts w:hint="eastAsia" w:ascii="Times New Roman" w:hAnsi="Times New Roman" w:eastAsia="宋体"/>
          <w:b/>
          <w:bCs/>
          <w:sz w:val="18"/>
          <w:szCs w:val="18"/>
        </w:rPr>
        <w:t>主要</w:t>
      </w:r>
      <w:r>
        <w:rPr>
          <w:rFonts w:ascii="Times New Roman" w:hAnsi="Times New Roman" w:eastAsia="宋体"/>
          <w:b/>
          <w:bCs/>
          <w:sz w:val="18"/>
          <w:szCs w:val="18"/>
        </w:rPr>
        <w:t>教学内容与要求</w:t>
      </w:r>
    </w:p>
    <w:tbl>
      <w:tblPr>
        <w:tblStyle w:val="13"/>
        <w:tblW w:w="9280" w:type="dxa"/>
        <w:jc w:val="center"/>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675"/>
        <w:gridCol w:w="1020"/>
        <w:gridCol w:w="6589"/>
        <w:gridCol w:w="996"/>
      </w:tblGrid>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675" w:type="dxa"/>
            <w:shd w:val="clear" w:color="auto" w:fill="F1F1F1" w:themeFill="background1" w:themeFillShade="F2"/>
            <w:vAlign w:val="center"/>
          </w:tcPr>
          <w:p>
            <w:pPr>
              <w:jc w:val="center"/>
              <w:rPr>
                <w:color w:val="000000"/>
                <w:sz w:val="18"/>
                <w:szCs w:val="18"/>
              </w:rPr>
            </w:pPr>
            <w:r>
              <w:rPr>
                <w:color w:val="000000"/>
                <w:sz w:val="18"/>
                <w:szCs w:val="18"/>
              </w:rPr>
              <w:t>序号</w:t>
            </w:r>
          </w:p>
        </w:tc>
        <w:tc>
          <w:tcPr>
            <w:tcW w:w="1020" w:type="dxa"/>
            <w:shd w:val="clear" w:color="auto" w:fill="F1F1F1" w:themeFill="background1" w:themeFillShade="F2"/>
            <w:vAlign w:val="center"/>
          </w:tcPr>
          <w:p>
            <w:pPr>
              <w:jc w:val="center"/>
              <w:rPr>
                <w:color w:val="000000"/>
                <w:sz w:val="18"/>
                <w:szCs w:val="18"/>
              </w:rPr>
            </w:pPr>
            <w:r>
              <w:rPr>
                <w:color w:val="000000"/>
                <w:sz w:val="18"/>
                <w:szCs w:val="18"/>
              </w:rPr>
              <w:t>课程名称</w:t>
            </w:r>
          </w:p>
        </w:tc>
        <w:tc>
          <w:tcPr>
            <w:tcW w:w="6589" w:type="dxa"/>
            <w:shd w:val="clear" w:color="auto" w:fill="F1F1F1" w:themeFill="background1" w:themeFillShade="F2"/>
            <w:vAlign w:val="center"/>
          </w:tcPr>
          <w:p>
            <w:pPr>
              <w:jc w:val="center"/>
              <w:rPr>
                <w:color w:val="000000"/>
                <w:sz w:val="18"/>
                <w:szCs w:val="18"/>
              </w:rPr>
            </w:pPr>
            <w:r>
              <w:rPr>
                <w:color w:val="000000"/>
                <w:sz w:val="18"/>
                <w:szCs w:val="18"/>
              </w:rPr>
              <w:t>主要内容要求</w:t>
            </w:r>
          </w:p>
        </w:tc>
        <w:tc>
          <w:tcPr>
            <w:tcW w:w="996" w:type="dxa"/>
            <w:shd w:val="clear" w:color="auto" w:fill="F1F1F1" w:themeFill="background1" w:themeFillShade="F2"/>
            <w:vAlign w:val="center"/>
          </w:tcPr>
          <w:p>
            <w:pPr>
              <w:jc w:val="center"/>
              <w:rPr>
                <w:color w:val="000000"/>
                <w:sz w:val="18"/>
                <w:szCs w:val="18"/>
              </w:rPr>
            </w:pPr>
            <w:r>
              <w:rPr>
                <w:color w:val="000000"/>
                <w:sz w:val="18"/>
                <w:szCs w:val="18"/>
              </w:rPr>
              <w:t>学分/学时</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675" w:type="dxa"/>
            <w:vAlign w:val="center"/>
          </w:tcPr>
          <w:p>
            <w:pPr>
              <w:jc w:val="center"/>
              <w:rPr>
                <w:sz w:val="18"/>
                <w:szCs w:val="18"/>
              </w:rPr>
            </w:pPr>
            <w:r>
              <w:rPr>
                <w:rFonts w:hint="eastAsia" w:ascii="宋体" w:hAnsi="宋体"/>
                <w:sz w:val="18"/>
                <w:szCs w:val="18"/>
              </w:rPr>
              <w:t>1</w:t>
            </w:r>
          </w:p>
        </w:tc>
        <w:tc>
          <w:tcPr>
            <w:tcW w:w="1020" w:type="dxa"/>
            <w:vAlign w:val="center"/>
          </w:tcPr>
          <w:p>
            <w:pPr>
              <w:spacing w:line="240" w:lineRule="exact"/>
              <w:jc w:val="center"/>
              <w:rPr>
                <w:sz w:val="18"/>
                <w:szCs w:val="18"/>
              </w:rPr>
            </w:pPr>
            <w:r>
              <w:rPr>
                <w:rFonts w:hint="eastAsia" w:ascii="宋体" w:hAnsi="宋体"/>
                <w:sz w:val="18"/>
                <w:szCs w:val="18"/>
              </w:rPr>
              <w:t>军事技能</w:t>
            </w:r>
          </w:p>
        </w:tc>
        <w:tc>
          <w:tcPr>
            <w:tcW w:w="6589" w:type="dxa"/>
            <w:vAlign w:val="center"/>
          </w:tcPr>
          <w:p>
            <w:pPr>
              <w:spacing w:line="240" w:lineRule="exact"/>
              <w:ind w:firstLine="354" w:firstLineChars="196"/>
              <w:rPr>
                <w:rFonts w:ascii="宋体" w:hAnsi="宋体"/>
                <w:sz w:val="18"/>
                <w:szCs w:val="18"/>
              </w:rPr>
            </w:pPr>
            <w:r>
              <w:rPr>
                <w:rFonts w:hint="eastAsia" w:ascii="宋体" w:hAnsi="宋体"/>
                <w:b/>
                <w:bCs/>
                <w:sz w:val="18"/>
                <w:szCs w:val="18"/>
              </w:rPr>
              <w:t>主要内容：</w:t>
            </w:r>
            <w:r>
              <w:rPr>
                <w:rFonts w:hint="eastAsia" w:ascii="宋体" w:hAnsi="宋体"/>
                <w:sz w:val="18"/>
                <w:szCs w:val="18"/>
              </w:rPr>
              <w:t>内务条令、纪律条令、队列条令教育；单个军人队列动作、分队的队列动作、战术基础动作；射击与战术训练、防卫技能与战时防护训练；军体拳、战备基础与应用训练。</w:t>
            </w:r>
          </w:p>
          <w:p>
            <w:pPr>
              <w:spacing w:line="240" w:lineRule="exact"/>
              <w:ind w:firstLine="354" w:firstLineChars="196"/>
              <w:rPr>
                <w:sz w:val="18"/>
                <w:szCs w:val="18"/>
              </w:rPr>
            </w:pPr>
            <w:r>
              <w:rPr>
                <w:rFonts w:hint="eastAsia" w:ascii="宋体" w:hAnsi="宋体"/>
                <w:b/>
                <w:bCs/>
                <w:sz w:val="18"/>
                <w:szCs w:val="18"/>
              </w:rPr>
              <w:t>教学要求：</w:t>
            </w:r>
            <w:r>
              <w:rPr>
                <w:rFonts w:hint="eastAsia" w:ascii="宋体" w:hAnsi="宋体"/>
                <w:sz w:val="18"/>
                <w:szCs w:val="18"/>
              </w:rPr>
              <w:t>掌握基本的军事技能和军事素质，有良好的体魄、严明的组织纪律性、强烈的爱国热情、善于合作的团队精神，为中国人民解放军训练后备兵员和培养预备役军官奠定基础。</w:t>
            </w:r>
          </w:p>
        </w:tc>
        <w:tc>
          <w:tcPr>
            <w:tcW w:w="996" w:type="dxa"/>
            <w:vAlign w:val="center"/>
          </w:tcPr>
          <w:p>
            <w:pPr>
              <w:spacing w:line="240" w:lineRule="exact"/>
              <w:jc w:val="center"/>
              <w:rPr>
                <w:color w:val="FF0000"/>
                <w:sz w:val="18"/>
                <w:szCs w:val="18"/>
              </w:rPr>
            </w:pPr>
            <w:r>
              <w:rPr>
                <w:rFonts w:hint="eastAsia" w:ascii="宋体" w:hAnsi="宋体"/>
                <w:sz w:val="18"/>
                <w:szCs w:val="18"/>
              </w:rPr>
              <w:t>2/112</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675" w:type="dxa"/>
            <w:vAlign w:val="center"/>
          </w:tcPr>
          <w:p>
            <w:pPr>
              <w:jc w:val="center"/>
              <w:rPr>
                <w:sz w:val="18"/>
                <w:szCs w:val="18"/>
              </w:rPr>
            </w:pPr>
            <w:r>
              <w:rPr>
                <w:rFonts w:hint="eastAsia" w:ascii="宋体" w:hAnsi="宋体"/>
                <w:sz w:val="18"/>
                <w:szCs w:val="18"/>
              </w:rPr>
              <w:t>2</w:t>
            </w:r>
          </w:p>
        </w:tc>
        <w:tc>
          <w:tcPr>
            <w:tcW w:w="1020" w:type="dxa"/>
            <w:vAlign w:val="center"/>
          </w:tcPr>
          <w:p>
            <w:pPr>
              <w:jc w:val="center"/>
              <w:rPr>
                <w:sz w:val="18"/>
                <w:szCs w:val="18"/>
              </w:rPr>
            </w:pPr>
            <w:r>
              <w:rPr>
                <w:rFonts w:hint="eastAsia"/>
                <w:color w:val="000000"/>
                <w:sz w:val="18"/>
                <w:szCs w:val="18"/>
              </w:rPr>
              <w:t>军事理论</w:t>
            </w:r>
          </w:p>
        </w:tc>
        <w:tc>
          <w:tcPr>
            <w:tcW w:w="6589" w:type="dxa"/>
            <w:vAlign w:val="center"/>
          </w:tcPr>
          <w:p>
            <w:pPr>
              <w:ind w:firstLine="361" w:firstLineChars="200"/>
              <w:rPr>
                <w:color w:val="000000"/>
                <w:sz w:val="18"/>
                <w:szCs w:val="18"/>
              </w:rPr>
            </w:pPr>
            <w:r>
              <w:rPr>
                <w:rFonts w:hint="eastAsia"/>
                <w:b/>
                <w:bCs/>
                <w:color w:val="000000"/>
                <w:sz w:val="18"/>
                <w:szCs w:val="18"/>
              </w:rPr>
              <w:t>主要内容：</w:t>
            </w:r>
            <w:r>
              <w:rPr>
                <w:color w:val="000000"/>
                <w:sz w:val="18"/>
                <w:szCs w:val="18"/>
              </w:rPr>
              <w:t>国防概述、</w:t>
            </w:r>
            <w:r>
              <w:rPr>
                <w:rFonts w:hint="eastAsia"/>
                <w:color w:val="000000"/>
                <w:sz w:val="18"/>
                <w:szCs w:val="18"/>
              </w:rPr>
              <w:t>国防法规、国防义务和权力、国防建设、武装力量和国防动员；安全形势及国际战略形势；世界新军事革命及古今中外军事思想；新军事革命、机械化战争和信息化战争；信息化装备、信息化作战平台、综合电子信息系统和信息化杀伤武器。</w:t>
            </w:r>
          </w:p>
          <w:p>
            <w:pPr>
              <w:ind w:firstLine="361" w:firstLineChars="200"/>
              <w:rPr>
                <w:sz w:val="18"/>
                <w:szCs w:val="18"/>
              </w:rPr>
            </w:pPr>
            <w:r>
              <w:rPr>
                <w:rFonts w:hint="eastAsia"/>
                <w:b/>
                <w:bCs/>
                <w:color w:val="000000"/>
                <w:sz w:val="18"/>
                <w:szCs w:val="18"/>
              </w:rPr>
              <w:t>教学要求：</w:t>
            </w:r>
            <w:r>
              <w:rPr>
                <w:rFonts w:hint="eastAsia"/>
                <w:color w:val="000000"/>
                <w:sz w:val="18"/>
                <w:szCs w:val="18"/>
              </w:rPr>
              <w:t>掌握军事基础知识，增强国防观念、国家安全意识和忧患危机意识，弘扬爱国主义精神、传承红色基因，增强爱国主义，民族主义、集体主义观念，加强纪律性，提高学生综合国防素质。</w:t>
            </w:r>
          </w:p>
        </w:tc>
        <w:tc>
          <w:tcPr>
            <w:tcW w:w="996" w:type="dxa"/>
            <w:vAlign w:val="center"/>
          </w:tcPr>
          <w:p>
            <w:pPr>
              <w:spacing w:line="240" w:lineRule="exact"/>
              <w:jc w:val="center"/>
              <w:rPr>
                <w:color w:val="000000"/>
                <w:sz w:val="18"/>
                <w:szCs w:val="18"/>
              </w:rPr>
            </w:pPr>
            <w:r>
              <w:rPr>
                <w:rFonts w:hint="eastAsia" w:ascii="宋体" w:hAnsi="宋体"/>
                <w:sz w:val="18"/>
                <w:szCs w:val="18"/>
              </w:rPr>
              <w:t>2/36</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675" w:type="dxa"/>
            <w:vAlign w:val="center"/>
          </w:tcPr>
          <w:p>
            <w:pPr>
              <w:jc w:val="center"/>
              <w:rPr>
                <w:sz w:val="18"/>
                <w:szCs w:val="18"/>
              </w:rPr>
            </w:pPr>
            <w:r>
              <w:rPr>
                <w:rFonts w:hint="eastAsia" w:ascii="宋体" w:hAnsi="宋体"/>
                <w:sz w:val="18"/>
                <w:szCs w:val="18"/>
              </w:rPr>
              <w:t>3</w:t>
            </w:r>
          </w:p>
        </w:tc>
        <w:tc>
          <w:tcPr>
            <w:tcW w:w="1020" w:type="dxa"/>
            <w:vAlign w:val="center"/>
          </w:tcPr>
          <w:p>
            <w:pPr>
              <w:jc w:val="center"/>
              <w:rPr>
                <w:sz w:val="18"/>
                <w:szCs w:val="18"/>
              </w:rPr>
            </w:pPr>
            <w:r>
              <w:rPr>
                <w:rFonts w:hint="eastAsia"/>
                <w:color w:val="000000"/>
                <w:sz w:val="18"/>
                <w:szCs w:val="18"/>
              </w:rPr>
              <w:t>思想道德与法治</w:t>
            </w:r>
          </w:p>
        </w:tc>
        <w:tc>
          <w:tcPr>
            <w:tcW w:w="6589" w:type="dxa"/>
            <w:vAlign w:val="center"/>
          </w:tcPr>
          <w:p>
            <w:pPr>
              <w:ind w:firstLine="361" w:firstLineChars="200"/>
              <w:rPr>
                <w:color w:val="000000"/>
                <w:sz w:val="18"/>
                <w:szCs w:val="18"/>
              </w:rPr>
            </w:pPr>
            <w:r>
              <w:rPr>
                <w:rFonts w:hint="eastAsia"/>
                <w:b/>
                <w:bCs/>
                <w:color w:val="000000"/>
                <w:sz w:val="18"/>
                <w:szCs w:val="18"/>
              </w:rPr>
              <w:t>主要内容：</w:t>
            </w:r>
            <w:r>
              <w:rPr>
                <w:rFonts w:hint="eastAsia"/>
                <w:color w:val="000000"/>
                <w:sz w:val="18"/>
                <w:szCs w:val="18"/>
              </w:rPr>
              <w:t>马克思主义的人生观、价值观、道德观、法治观，社会主义核心价值观与社会主义法治建设的关系，帮助学生筑牢理想信念之基，培育和践行社会主义核心价值观，传承中华传统美德，弘扬中国精神，尊重和维护宪法法律权威，提升思想道德素质和法治素养。</w:t>
            </w:r>
          </w:p>
          <w:p>
            <w:pPr>
              <w:ind w:firstLine="361" w:firstLineChars="200"/>
              <w:rPr>
                <w:sz w:val="18"/>
                <w:szCs w:val="18"/>
              </w:rPr>
            </w:pPr>
            <w:r>
              <w:rPr>
                <w:rFonts w:hint="eastAsia"/>
                <w:b/>
                <w:bCs/>
                <w:color w:val="000000"/>
                <w:sz w:val="18"/>
                <w:szCs w:val="18"/>
              </w:rPr>
              <w:t>教学要求：</w:t>
            </w:r>
            <w:r>
              <w:rPr>
                <w:rFonts w:hint="eastAsia"/>
                <w:color w:val="000000"/>
                <w:sz w:val="18"/>
                <w:szCs w:val="18"/>
              </w:rPr>
              <w:t>针对大学生成长过程中面临的思想道德与法治问题，开展马克思主义的人生观、价值观、道德观、法治观教育，帮助大学生提升思想道德素质和法治素养，成长为自觉担当民族复兴大任的时代新人。</w:t>
            </w:r>
          </w:p>
        </w:tc>
        <w:tc>
          <w:tcPr>
            <w:tcW w:w="996" w:type="dxa"/>
            <w:vAlign w:val="center"/>
          </w:tcPr>
          <w:p>
            <w:pPr>
              <w:spacing w:line="240" w:lineRule="exact"/>
              <w:jc w:val="center"/>
              <w:rPr>
                <w:color w:val="000000"/>
                <w:sz w:val="18"/>
                <w:szCs w:val="18"/>
              </w:rPr>
            </w:pPr>
            <w:r>
              <w:rPr>
                <w:rFonts w:hint="eastAsia" w:ascii="宋体" w:hAnsi="宋体"/>
                <w:sz w:val="18"/>
                <w:szCs w:val="18"/>
              </w:rPr>
              <w:t>3/48</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675" w:type="dxa"/>
            <w:vAlign w:val="center"/>
          </w:tcPr>
          <w:p>
            <w:pPr>
              <w:jc w:val="center"/>
              <w:rPr>
                <w:rFonts w:ascii="华文仿宋" w:hAnsi="华文仿宋" w:eastAsia="华文仿宋"/>
                <w:sz w:val="18"/>
                <w:szCs w:val="18"/>
              </w:rPr>
            </w:pPr>
            <w:r>
              <w:rPr>
                <w:rFonts w:hint="eastAsia" w:ascii="宋体" w:hAnsi="宋体" w:eastAsia="华文仿宋"/>
                <w:sz w:val="18"/>
                <w:szCs w:val="18"/>
              </w:rPr>
              <w:t>4</w:t>
            </w:r>
          </w:p>
        </w:tc>
        <w:tc>
          <w:tcPr>
            <w:tcW w:w="1020" w:type="dxa"/>
            <w:vAlign w:val="center"/>
          </w:tcPr>
          <w:p>
            <w:pPr>
              <w:jc w:val="center"/>
              <w:rPr>
                <w:rFonts w:ascii="宋体" w:hAnsi="宋体"/>
                <w:sz w:val="18"/>
                <w:szCs w:val="18"/>
              </w:rPr>
            </w:pPr>
            <w:r>
              <w:rPr>
                <w:rFonts w:hint="eastAsia"/>
                <w:color w:val="000000"/>
                <w:sz w:val="18"/>
                <w:szCs w:val="18"/>
              </w:rPr>
              <w:t>毛泽东思想和中国特色社会主义理论体系概论</w:t>
            </w:r>
          </w:p>
        </w:tc>
        <w:tc>
          <w:tcPr>
            <w:tcW w:w="6589" w:type="dxa"/>
            <w:vAlign w:val="center"/>
          </w:tcPr>
          <w:p>
            <w:pPr>
              <w:ind w:firstLine="361" w:firstLineChars="200"/>
              <w:rPr>
                <w:color w:val="000000"/>
                <w:sz w:val="18"/>
                <w:szCs w:val="18"/>
              </w:rPr>
            </w:pPr>
            <w:r>
              <w:rPr>
                <w:rFonts w:hint="eastAsia"/>
                <w:b/>
                <w:bCs/>
                <w:color w:val="000000"/>
                <w:sz w:val="18"/>
                <w:szCs w:val="18"/>
              </w:rPr>
              <w:t>主要内容：</w:t>
            </w:r>
            <w:r>
              <w:rPr>
                <w:rFonts w:hint="eastAsia"/>
                <w:color w:val="000000"/>
                <w:sz w:val="18"/>
                <w:szCs w:val="18"/>
              </w:rPr>
              <w:t>以马克思主义中国化</w:t>
            </w:r>
            <w:r>
              <w:rPr>
                <w:color w:val="000000"/>
                <w:sz w:val="18"/>
                <w:szCs w:val="18"/>
              </w:rPr>
              <w:t>时代化</w:t>
            </w:r>
            <w:r>
              <w:rPr>
                <w:rFonts w:hint="eastAsia"/>
                <w:color w:val="000000"/>
                <w:sz w:val="18"/>
                <w:szCs w:val="18"/>
              </w:rPr>
              <w:t>为主线，集中阐述马克思主义中国化</w:t>
            </w:r>
            <w:r>
              <w:rPr>
                <w:color w:val="000000"/>
                <w:sz w:val="18"/>
                <w:szCs w:val="18"/>
              </w:rPr>
              <w:t>时代化的</w:t>
            </w:r>
            <w:r>
              <w:rPr>
                <w:rFonts w:hint="eastAsia"/>
                <w:color w:val="000000"/>
                <w:sz w:val="18"/>
                <w:szCs w:val="18"/>
              </w:rPr>
              <w:t>理论成果的形成过程、主要内容、精神实质、历史地位和指导意义，充分反映中国共产党不断推进马克思主义基本原理同中国具体实际相结合、同中华优秀传统文化相结合的历史进程和基本经验。</w:t>
            </w:r>
            <w:r>
              <w:rPr>
                <w:color w:val="000000"/>
                <w:sz w:val="18"/>
                <w:szCs w:val="18"/>
              </w:rPr>
              <w:t>本课程重点阐述毛泽东思想、邓小平理论、“三个代表”重要思想和科学发展观。马克思主义中国化时代化的最新理论成果——习近平新时达中国特色社会主义思想将在其他课程中另行系统阐述。</w:t>
            </w:r>
          </w:p>
          <w:p>
            <w:pPr>
              <w:ind w:firstLine="361" w:firstLineChars="200"/>
              <w:rPr>
                <w:sz w:val="18"/>
                <w:szCs w:val="18"/>
              </w:rPr>
            </w:pPr>
            <w:r>
              <w:rPr>
                <w:rFonts w:hint="eastAsia"/>
                <w:b/>
                <w:bCs/>
                <w:color w:val="000000"/>
                <w:sz w:val="18"/>
                <w:szCs w:val="18"/>
              </w:rPr>
              <w:t>教学要求：</w:t>
            </w:r>
            <w:r>
              <w:rPr>
                <w:rFonts w:hint="eastAsia"/>
                <w:color w:val="000000"/>
                <w:sz w:val="18"/>
                <w:szCs w:val="18"/>
              </w:rPr>
              <w:t>准确把握马克思主义中国化进程中形成的理论成果及其精神实质；加深学生对中国共产党领导人民进行的革命、建设、改革的历史进程、历史变革、历史成就的更深刻认识；对中国共产党在新时代坚持的基本理论、基本路线、基本方略有更加透彻的理解；对运用马克思主义立场、观点和方法认识问题、分析问题和解决问题能力的提升有更加切实的帮助。</w:t>
            </w:r>
          </w:p>
        </w:tc>
        <w:tc>
          <w:tcPr>
            <w:tcW w:w="996" w:type="dxa"/>
            <w:vAlign w:val="center"/>
          </w:tcPr>
          <w:p>
            <w:pPr>
              <w:spacing w:line="240" w:lineRule="exact"/>
              <w:jc w:val="center"/>
              <w:rPr>
                <w:rFonts w:ascii="宋体" w:hAnsi="宋体"/>
                <w:sz w:val="18"/>
                <w:szCs w:val="18"/>
              </w:rPr>
            </w:pPr>
            <w:r>
              <w:rPr>
                <w:rFonts w:hint="eastAsia" w:ascii="宋体" w:hAnsi="宋体"/>
                <w:sz w:val="18"/>
                <w:szCs w:val="18"/>
              </w:rPr>
              <w:t>2/36</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675" w:type="dxa"/>
            <w:vAlign w:val="center"/>
          </w:tcPr>
          <w:p>
            <w:pPr>
              <w:jc w:val="center"/>
              <w:rPr>
                <w:rFonts w:ascii="宋体" w:hAnsi="宋体" w:cs="宋体"/>
                <w:sz w:val="18"/>
                <w:szCs w:val="18"/>
              </w:rPr>
            </w:pPr>
            <w:r>
              <w:rPr>
                <w:rFonts w:hint="eastAsia" w:ascii="宋体" w:hAnsi="宋体" w:cs="宋体"/>
                <w:sz w:val="18"/>
                <w:szCs w:val="18"/>
              </w:rPr>
              <w:t>5</w:t>
            </w:r>
          </w:p>
        </w:tc>
        <w:tc>
          <w:tcPr>
            <w:tcW w:w="1020" w:type="dxa"/>
            <w:vAlign w:val="center"/>
          </w:tcPr>
          <w:p>
            <w:pPr>
              <w:jc w:val="center"/>
              <w:rPr>
                <w:rFonts w:ascii="宋体" w:hAnsi="宋体" w:cs="宋体"/>
                <w:sz w:val="18"/>
                <w:szCs w:val="18"/>
              </w:rPr>
            </w:pPr>
            <w:r>
              <w:rPr>
                <w:rFonts w:hint="eastAsia"/>
                <w:color w:val="000000"/>
                <w:sz w:val="18"/>
                <w:szCs w:val="18"/>
              </w:rPr>
              <w:t>习近平新时代中国特色社会主义思想概论</w:t>
            </w:r>
          </w:p>
        </w:tc>
        <w:tc>
          <w:tcPr>
            <w:tcW w:w="6589" w:type="dxa"/>
            <w:vAlign w:val="center"/>
          </w:tcPr>
          <w:p>
            <w:pPr>
              <w:widowControl/>
              <w:ind w:firstLine="361" w:firstLineChars="200"/>
              <w:rPr>
                <w:rFonts w:ascii="宋体" w:hAnsi="宋体" w:cs="宋体"/>
                <w:sz w:val="18"/>
                <w:szCs w:val="18"/>
                <w:lang w:bidi="ar"/>
              </w:rPr>
            </w:pPr>
            <w:r>
              <w:rPr>
                <w:rFonts w:hint="eastAsia" w:ascii="宋体" w:hAnsi="宋体" w:cs="宋体"/>
                <w:b/>
                <w:bCs/>
                <w:sz w:val="18"/>
                <w:szCs w:val="18"/>
              </w:rPr>
              <w:t>主要内容：</w:t>
            </w:r>
            <w:r>
              <w:rPr>
                <w:rFonts w:hint="eastAsia" w:ascii="宋体" w:hAnsi="宋体" w:cs="宋体"/>
                <w:sz w:val="18"/>
                <w:szCs w:val="18"/>
                <w:lang w:bidi="ar"/>
              </w:rPr>
              <w:t>以马克思主义中国化</w:t>
            </w:r>
            <w:r>
              <w:rPr>
                <w:rFonts w:ascii="宋体" w:hAnsi="宋体" w:cs="宋体"/>
                <w:sz w:val="18"/>
                <w:szCs w:val="18"/>
                <w:lang w:bidi="ar"/>
              </w:rPr>
              <w:t>时代化</w:t>
            </w:r>
            <w:r>
              <w:rPr>
                <w:rFonts w:hint="eastAsia" w:ascii="宋体" w:hAnsi="宋体" w:cs="宋体"/>
                <w:sz w:val="18"/>
                <w:szCs w:val="18"/>
                <w:lang w:bidi="ar"/>
              </w:rPr>
              <w:t>为主线，</w:t>
            </w:r>
            <w:r>
              <w:rPr>
                <w:rFonts w:ascii="宋体" w:hAnsi="宋体" w:cs="宋体"/>
                <w:sz w:val="18"/>
                <w:szCs w:val="18"/>
                <w:lang w:bidi="ar"/>
              </w:rPr>
              <w:t>全面系统</w:t>
            </w:r>
            <w:r>
              <w:rPr>
                <w:rFonts w:hint="eastAsia" w:ascii="宋体" w:hAnsi="宋体" w:cs="宋体"/>
                <w:sz w:val="18"/>
                <w:szCs w:val="18"/>
                <w:lang w:bidi="ar"/>
              </w:rPr>
              <w:t>阐述马克思主义中国化</w:t>
            </w:r>
            <w:r>
              <w:rPr>
                <w:rFonts w:ascii="宋体" w:hAnsi="宋体" w:cs="宋体"/>
                <w:sz w:val="18"/>
                <w:szCs w:val="18"/>
                <w:lang w:bidi="ar"/>
              </w:rPr>
              <w:t>时代化最新</w:t>
            </w:r>
            <w:r>
              <w:rPr>
                <w:rFonts w:hint="eastAsia" w:ascii="宋体" w:hAnsi="宋体" w:cs="宋体"/>
                <w:sz w:val="18"/>
                <w:szCs w:val="18"/>
                <w:lang w:bidi="ar"/>
              </w:rPr>
              <w:t>理论成果</w:t>
            </w:r>
            <w:r>
              <w:rPr>
                <w:rFonts w:ascii="宋体" w:hAnsi="宋体" w:cs="宋体"/>
                <w:sz w:val="18"/>
                <w:szCs w:val="18"/>
                <w:lang w:bidi="ar"/>
              </w:rPr>
              <w:t>——习近平新时代中国特色社会主义思想</w:t>
            </w:r>
            <w:r>
              <w:rPr>
                <w:rFonts w:hint="eastAsia" w:ascii="宋体" w:hAnsi="宋体" w:cs="宋体"/>
                <w:sz w:val="18"/>
                <w:szCs w:val="18"/>
                <w:lang w:bidi="ar"/>
              </w:rPr>
              <w:t>的</w:t>
            </w:r>
            <w:r>
              <w:rPr>
                <w:rFonts w:ascii="宋体" w:hAnsi="宋体" w:cs="宋体"/>
                <w:sz w:val="18"/>
                <w:szCs w:val="18"/>
                <w:lang w:bidi="ar"/>
              </w:rPr>
              <w:t>核心要义</w:t>
            </w:r>
            <w:r>
              <w:rPr>
                <w:rFonts w:hint="eastAsia" w:ascii="宋体" w:hAnsi="宋体" w:cs="宋体"/>
                <w:sz w:val="18"/>
                <w:szCs w:val="18"/>
                <w:lang w:bidi="ar"/>
              </w:rPr>
              <w:t>、精神实质、</w:t>
            </w:r>
            <w:r>
              <w:rPr>
                <w:rFonts w:ascii="宋体" w:hAnsi="宋体" w:cs="宋体"/>
                <w:sz w:val="18"/>
                <w:szCs w:val="18"/>
                <w:lang w:bidi="ar"/>
              </w:rPr>
              <w:t>丰富内涵、实践要求</w:t>
            </w:r>
            <w:r>
              <w:rPr>
                <w:rFonts w:hint="eastAsia" w:ascii="宋体" w:hAnsi="宋体" w:cs="宋体"/>
                <w:sz w:val="18"/>
                <w:szCs w:val="18"/>
                <w:lang w:bidi="ar"/>
              </w:rPr>
              <w:t>，充分反映中国共产党不断推进马克思主义基本原理同中国具体实际相结合、同中华优秀传统文化相结合的历史进程和基本经验</w:t>
            </w:r>
            <w:r>
              <w:rPr>
                <w:rFonts w:ascii="宋体" w:hAnsi="宋体" w:cs="宋体"/>
                <w:sz w:val="18"/>
                <w:szCs w:val="18"/>
                <w:lang w:bidi="ar"/>
              </w:rPr>
              <w:t>，</w:t>
            </w:r>
            <w:r>
              <w:rPr>
                <w:rFonts w:hint="eastAsia" w:ascii="宋体" w:hAnsi="宋体" w:cs="宋体"/>
                <w:sz w:val="18"/>
                <w:szCs w:val="18"/>
                <w:lang w:bidi="ar"/>
              </w:rPr>
              <w:t>全面把握中国特色社会主义进入新时代，</w:t>
            </w:r>
            <w:r>
              <w:rPr>
                <w:rFonts w:ascii="宋体" w:hAnsi="宋体" w:cs="宋体"/>
                <w:sz w:val="18"/>
                <w:szCs w:val="18"/>
                <w:lang w:bidi="ar"/>
              </w:rPr>
              <w:t>集中展现</w:t>
            </w:r>
            <w:r>
              <w:rPr>
                <w:rFonts w:hint="eastAsia" w:ascii="宋体" w:hAnsi="宋体" w:cs="宋体"/>
                <w:sz w:val="18"/>
                <w:szCs w:val="18"/>
                <w:lang w:bidi="ar"/>
              </w:rPr>
              <w:t>实现全面建设社会主义现代化强国、中华民族伟大复兴中国梦的战略部署。</w:t>
            </w:r>
          </w:p>
          <w:p>
            <w:pPr>
              <w:ind w:firstLine="361" w:firstLineChars="200"/>
              <w:rPr>
                <w:rFonts w:ascii="宋体" w:hAnsi="宋体" w:cs="宋体"/>
                <w:b/>
                <w:bCs/>
                <w:sz w:val="18"/>
                <w:szCs w:val="18"/>
              </w:rPr>
            </w:pPr>
            <w:r>
              <w:rPr>
                <w:rFonts w:hint="eastAsia" w:ascii="宋体" w:hAnsi="宋体" w:cs="宋体"/>
                <w:b/>
                <w:bCs/>
                <w:sz w:val="18"/>
                <w:szCs w:val="18"/>
              </w:rPr>
              <w:t>教学要求：</w:t>
            </w:r>
            <w:r>
              <w:rPr>
                <w:rFonts w:ascii="宋体" w:hAnsi="宋体" w:cs="宋体"/>
                <w:sz w:val="18"/>
                <w:szCs w:val="18"/>
              </w:rPr>
              <w:t>帮助大学生深入学习领会习近平新时代中国特色社会主义思想的核心要义、精神实质、丰富内涵、实践要求，</w:t>
            </w:r>
            <w:r>
              <w:rPr>
                <w:sz w:val="18"/>
                <w:szCs w:val="18"/>
              </w:rPr>
              <w:t>进一步增强大学生的“四个意识”，坚定“四个自信”，做到“两个维护”。</w:t>
            </w:r>
          </w:p>
        </w:tc>
        <w:tc>
          <w:tcPr>
            <w:tcW w:w="996" w:type="dxa"/>
            <w:vAlign w:val="center"/>
          </w:tcPr>
          <w:p>
            <w:pPr>
              <w:jc w:val="center"/>
              <w:rPr>
                <w:rFonts w:ascii="宋体" w:hAnsi="宋体" w:cs="宋体"/>
                <w:sz w:val="18"/>
                <w:szCs w:val="18"/>
              </w:rPr>
            </w:pPr>
            <w:r>
              <w:rPr>
                <w:rFonts w:hint="eastAsia" w:ascii="宋体" w:hAnsi="宋体" w:cs="宋体"/>
                <w:sz w:val="18"/>
                <w:szCs w:val="18"/>
              </w:rPr>
              <w:t>3/48</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675" w:type="dxa"/>
            <w:vAlign w:val="center"/>
          </w:tcPr>
          <w:p>
            <w:pPr>
              <w:jc w:val="center"/>
              <w:rPr>
                <w:sz w:val="18"/>
                <w:szCs w:val="18"/>
              </w:rPr>
            </w:pPr>
            <w:r>
              <w:rPr>
                <w:rFonts w:hint="eastAsia"/>
                <w:sz w:val="18"/>
                <w:szCs w:val="18"/>
              </w:rPr>
              <w:t>6</w:t>
            </w:r>
          </w:p>
        </w:tc>
        <w:tc>
          <w:tcPr>
            <w:tcW w:w="1020" w:type="dxa"/>
            <w:vAlign w:val="center"/>
          </w:tcPr>
          <w:p>
            <w:pPr>
              <w:jc w:val="center"/>
              <w:rPr>
                <w:rFonts w:ascii="宋体" w:hAnsi="宋体"/>
                <w:sz w:val="18"/>
                <w:szCs w:val="18"/>
              </w:rPr>
            </w:pPr>
            <w:r>
              <w:rPr>
                <w:rFonts w:hint="eastAsia"/>
                <w:color w:val="000000"/>
                <w:sz w:val="18"/>
                <w:szCs w:val="18"/>
              </w:rPr>
              <w:t>形势与政策</w:t>
            </w:r>
          </w:p>
        </w:tc>
        <w:tc>
          <w:tcPr>
            <w:tcW w:w="6589" w:type="dxa"/>
            <w:vAlign w:val="center"/>
          </w:tcPr>
          <w:p>
            <w:pPr>
              <w:ind w:firstLine="361" w:firstLineChars="200"/>
              <w:rPr>
                <w:color w:val="000000"/>
                <w:sz w:val="18"/>
                <w:szCs w:val="18"/>
              </w:rPr>
            </w:pPr>
            <w:r>
              <w:rPr>
                <w:rFonts w:hint="eastAsia"/>
                <w:b/>
                <w:bCs/>
                <w:color w:val="000000"/>
                <w:sz w:val="18"/>
                <w:szCs w:val="18"/>
              </w:rPr>
              <w:t>主要内容：</w:t>
            </w:r>
            <w:r>
              <w:rPr>
                <w:rFonts w:hint="eastAsia"/>
                <w:color w:val="000000"/>
                <w:sz w:val="18"/>
                <w:szCs w:val="18"/>
              </w:rPr>
              <w:t>党的理论创新最新成果，新时代坚持和发展中国特色社会主义的生动实践，马克思主义形势观政策观、党的路线方针政策、基本国情、国内外形势及其热点难点问题。</w:t>
            </w:r>
          </w:p>
          <w:p>
            <w:pPr>
              <w:ind w:firstLine="361" w:firstLineChars="200"/>
              <w:rPr>
                <w:rFonts w:ascii="宋体" w:hAnsi="宋体"/>
                <w:sz w:val="18"/>
                <w:szCs w:val="18"/>
              </w:rPr>
            </w:pPr>
            <w:r>
              <w:rPr>
                <w:rFonts w:hint="eastAsia"/>
                <w:b/>
                <w:bCs/>
                <w:color w:val="000000"/>
                <w:sz w:val="18"/>
                <w:szCs w:val="18"/>
              </w:rPr>
              <w:t>教学要求：</w:t>
            </w:r>
            <w:r>
              <w:rPr>
                <w:rFonts w:hint="eastAsia"/>
                <w:color w:val="000000"/>
                <w:sz w:val="18"/>
                <w:szCs w:val="18"/>
              </w:rPr>
              <w:t>正确认识党和国家面临的形势和任务，正确认识国情，理解党的路线、方针和政策。具有一定正确分析和认识当前国内外形势的分辨能力和判断能力，坚定走中国特色社会主义道路的信心和决心。</w:t>
            </w:r>
          </w:p>
        </w:tc>
        <w:tc>
          <w:tcPr>
            <w:tcW w:w="996" w:type="dxa"/>
            <w:vAlign w:val="center"/>
          </w:tcPr>
          <w:p>
            <w:pPr>
              <w:widowControl/>
              <w:adjustRightInd w:val="0"/>
              <w:snapToGrid w:val="0"/>
              <w:spacing w:line="240" w:lineRule="exact"/>
              <w:jc w:val="center"/>
              <w:rPr>
                <w:rFonts w:ascii="宋体" w:hAnsi="宋体"/>
                <w:sz w:val="18"/>
                <w:szCs w:val="18"/>
              </w:rPr>
            </w:pPr>
            <w:r>
              <w:rPr>
                <w:rFonts w:hint="eastAsia" w:ascii="宋体" w:hAnsi="宋体"/>
                <w:sz w:val="18"/>
                <w:szCs w:val="18"/>
              </w:rPr>
              <w:t>1/</w:t>
            </w:r>
            <w:r>
              <w:rPr>
                <w:rFonts w:ascii="宋体" w:hAnsi="宋体"/>
                <w:sz w:val="18"/>
                <w:szCs w:val="18"/>
              </w:rPr>
              <w:t>40</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675" w:type="dxa"/>
            <w:vAlign w:val="center"/>
          </w:tcPr>
          <w:p>
            <w:pPr>
              <w:jc w:val="center"/>
              <w:rPr>
                <w:sz w:val="18"/>
                <w:szCs w:val="18"/>
              </w:rPr>
            </w:pPr>
            <w:r>
              <w:rPr>
                <w:rFonts w:hint="eastAsia"/>
                <w:sz w:val="18"/>
                <w:szCs w:val="18"/>
              </w:rPr>
              <w:t>7</w:t>
            </w:r>
          </w:p>
        </w:tc>
        <w:tc>
          <w:tcPr>
            <w:tcW w:w="1020" w:type="dxa"/>
            <w:vAlign w:val="center"/>
          </w:tcPr>
          <w:p>
            <w:pPr>
              <w:spacing w:line="240" w:lineRule="exact"/>
              <w:jc w:val="center"/>
              <w:rPr>
                <w:rFonts w:ascii="宋体" w:hAnsi="宋体"/>
                <w:sz w:val="18"/>
                <w:szCs w:val="18"/>
              </w:rPr>
            </w:pPr>
            <w:r>
              <w:rPr>
                <w:rFonts w:hint="eastAsia" w:ascii="宋体" w:hAnsi="宋体"/>
                <w:sz w:val="18"/>
                <w:szCs w:val="18"/>
              </w:rPr>
              <w:t>大学生心理健康教育</w:t>
            </w:r>
          </w:p>
        </w:tc>
        <w:tc>
          <w:tcPr>
            <w:tcW w:w="6589" w:type="dxa"/>
            <w:vAlign w:val="center"/>
          </w:tcPr>
          <w:p>
            <w:pPr>
              <w:spacing w:line="240" w:lineRule="exact"/>
              <w:ind w:firstLine="361" w:firstLineChars="200"/>
              <w:rPr>
                <w:rFonts w:ascii="宋体" w:hAnsi="宋体"/>
                <w:sz w:val="18"/>
                <w:szCs w:val="18"/>
              </w:rPr>
            </w:pPr>
            <w:r>
              <w:rPr>
                <w:rFonts w:hint="eastAsia" w:ascii="宋体" w:hAnsi="宋体"/>
                <w:b/>
                <w:bCs/>
                <w:sz w:val="18"/>
                <w:szCs w:val="18"/>
              </w:rPr>
              <w:t>主要内容：</w:t>
            </w:r>
            <w:r>
              <w:rPr>
                <w:rFonts w:hint="eastAsia" w:ascii="宋体" w:hAnsi="宋体"/>
                <w:sz w:val="18"/>
                <w:szCs w:val="18"/>
              </w:rPr>
              <w:t>包括情绪管理、压力管理、生命教育、心理危机应对以及逆境与成长等主题，涵盖大学生认知与探索、调试与应对、发展与提升等方面内容，由心理现象和心理过程引入心理健康教育的概念等，让学生学会学习，学会生活。</w:t>
            </w:r>
          </w:p>
          <w:p>
            <w:pPr>
              <w:spacing w:line="240" w:lineRule="exact"/>
              <w:ind w:firstLine="361" w:firstLineChars="200"/>
              <w:rPr>
                <w:rFonts w:ascii="华文仿宋" w:hAnsi="华文仿宋" w:eastAsia="华文仿宋"/>
                <w:sz w:val="18"/>
                <w:szCs w:val="18"/>
              </w:rPr>
            </w:pPr>
            <w:r>
              <w:rPr>
                <w:rFonts w:hint="eastAsia" w:ascii="宋体" w:hAnsi="宋体"/>
                <w:b/>
                <w:bCs/>
                <w:sz w:val="18"/>
                <w:szCs w:val="18"/>
              </w:rPr>
              <w:t>教学要求</w:t>
            </w:r>
            <w:r>
              <w:rPr>
                <w:rFonts w:hint="eastAsia" w:ascii="宋体" w:hAnsi="宋体"/>
                <w:sz w:val="18"/>
                <w:szCs w:val="18"/>
              </w:rPr>
              <w:t>：使学生明确心理健康的标准及意义，了解大学阶段人的心理发展特征及</w:t>
            </w:r>
            <w:r>
              <w:rPr>
                <w:rFonts w:ascii="宋体" w:hAnsi="宋体"/>
                <w:sz w:val="18"/>
                <w:szCs w:val="18"/>
              </w:rPr>
              <w:t>常见的心理问题表现</w:t>
            </w:r>
            <w:r>
              <w:rPr>
                <w:rFonts w:hint="eastAsia" w:ascii="宋体" w:hAnsi="宋体"/>
                <w:sz w:val="18"/>
                <w:szCs w:val="18"/>
              </w:rPr>
              <w:t>，掌握自我调适的基本知识；使学生掌握自我探索技能，心理调适技能及心理发展技能，正确认识自我、完善自我、发展自我、优化心理素质，提高心理水平，促进全面发展。</w:t>
            </w:r>
          </w:p>
        </w:tc>
        <w:tc>
          <w:tcPr>
            <w:tcW w:w="996" w:type="dxa"/>
            <w:vAlign w:val="center"/>
          </w:tcPr>
          <w:p>
            <w:pPr>
              <w:spacing w:line="240" w:lineRule="exact"/>
              <w:jc w:val="center"/>
              <w:rPr>
                <w:rFonts w:ascii="宋体" w:hAnsi="宋体"/>
                <w:sz w:val="18"/>
                <w:szCs w:val="18"/>
              </w:rPr>
            </w:pPr>
            <w:r>
              <w:rPr>
                <w:rFonts w:hint="eastAsia" w:ascii="宋体" w:hAnsi="宋体"/>
                <w:sz w:val="18"/>
                <w:szCs w:val="18"/>
              </w:rPr>
              <w:t>2/32</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675" w:type="dxa"/>
            <w:vAlign w:val="center"/>
          </w:tcPr>
          <w:p>
            <w:pPr>
              <w:jc w:val="center"/>
              <w:rPr>
                <w:sz w:val="18"/>
                <w:szCs w:val="18"/>
              </w:rPr>
            </w:pPr>
            <w:r>
              <w:rPr>
                <w:rFonts w:hint="eastAsia"/>
                <w:sz w:val="18"/>
                <w:szCs w:val="18"/>
              </w:rPr>
              <w:t>8</w:t>
            </w:r>
          </w:p>
        </w:tc>
        <w:tc>
          <w:tcPr>
            <w:tcW w:w="1020" w:type="dxa"/>
            <w:vAlign w:val="center"/>
          </w:tcPr>
          <w:p>
            <w:pPr>
              <w:spacing w:line="240" w:lineRule="exact"/>
              <w:ind w:firstLine="180" w:firstLineChars="100"/>
              <w:rPr>
                <w:rFonts w:ascii="宋体" w:hAnsi="宋体"/>
                <w:sz w:val="18"/>
                <w:szCs w:val="18"/>
              </w:rPr>
            </w:pPr>
            <w:r>
              <w:rPr>
                <w:rFonts w:hint="eastAsia" w:ascii="宋体" w:hAnsi="宋体"/>
                <w:sz w:val="18"/>
                <w:szCs w:val="18"/>
              </w:rPr>
              <w:t>体育</w:t>
            </w:r>
          </w:p>
        </w:tc>
        <w:tc>
          <w:tcPr>
            <w:tcW w:w="6589" w:type="dxa"/>
            <w:vAlign w:val="center"/>
          </w:tcPr>
          <w:p>
            <w:pPr>
              <w:spacing w:line="240" w:lineRule="exact"/>
              <w:ind w:firstLine="361" w:firstLineChars="200"/>
              <w:rPr>
                <w:rFonts w:ascii="宋体" w:hAnsi="宋体"/>
                <w:sz w:val="18"/>
                <w:szCs w:val="18"/>
              </w:rPr>
            </w:pPr>
            <w:r>
              <w:rPr>
                <w:rFonts w:hint="eastAsia" w:ascii="宋体" w:hAnsi="宋体"/>
                <w:b/>
                <w:bCs/>
                <w:sz w:val="18"/>
                <w:szCs w:val="18"/>
              </w:rPr>
              <w:t>主要内容：</w:t>
            </w:r>
            <w:r>
              <w:rPr>
                <w:rFonts w:hint="eastAsia" w:ascii="宋体" w:hAnsi="宋体"/>
                <w:sz w:val="18"/>
                <w:szCs w:val="18"/>
              </w:rPr>
              <w:t>学习基本的体育理论以及田径、球类、健美操、武术等项目的基本知识、技术、技能。增强学生自觉树立培养良好的职业道德及职业习惯的意识，形成敬业、守信、高效、协作、精益求精等职业道德与素质。</w:t>
            </w:r>
          </w:p>
          <w:p>
            <w:pPr>
              <w:spacing w:line="240" w:lineRule="exact"/>
              <w:ind w:firstLine="361" w:firstLineChars="200"/>
              <w:rPr>
                <w:rFonts w:ascii="宋体" w:hAnsi="宋体"/>
                <w:sz w:val="18"/>
                <w:szCs w:val="18"/>
              </w:rPr>
            </w:pPr>
            <w:r>
              <w:rPr>
                <w:rFonts w:hint="eastAsia" w:ascii="宋体" w:hAnsi="宋体"/>
                <w:b/>
                <w:bCs/>
                <w:sz w:val="18"/>
                <w:szCs w:val="18"/>
              </w:rPr>
              <w:t>教学要求</w:t>
            </w:r>
            <w:r>
              <w:rPr>
                <w:rFonts w:hint="eastAsia" w:ascii="宋体" w:hAnsi="宋体"/>
                <w:sz w:val="18"/>
                <w:szCs w:val="18"/>
              </w:rPr>
              <w:t>：掌握运动项目的技战术理论和基本知识、运动健身的基本原理与锻炼方法、运动损伤的预防与处理；使学生能把所学理论、技战术、技能知识运用到具体身体活动中；提高学生在身体活动中观察、思维、推理、判断、分析与解决问题的能力。</w:t>
            </w:r>
          </w:p>
        </w:tc>
        <w:tc>
          <w:tcPr>
            <w:tcW w:w="996" w:type="dxa"/>
            <w:vAlign w:val="center"/>
          </w:tcPr>
          <w:p>
            <w:pPr>
              <w:spacing w:line="240" w:lineRule="exact"/>
              <w:jc w:val="center"/>
              <w:rPr>
                <w:rFonts w:ascii="宋体" w:hAnsi="宋体"/>
                <w:sz w:val="18"/>
                <w:szCs w:val="18"/>
              </w:rPr>
            </w:pPr>
            <w:r>
              <w:rPr>
                <w:rFonts w:hint="eastAsia" w:ascii="宋体" w:hAnsi="宋体"/>
                <w:sz w:val="18"/>
                <w:szCs w:val="18"/>
              </w:rPr>
              <w:t>6/108</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675" w:type="dxa"/>
            <w:vAlign w:val="center"/>
          </w:tcPr>
          <w:p>
            <w:pPr>
              <w:jc w:val="center"/>
              <w:rPr>
                <w:sz w:val="18"/>
                <w:szCs w:val="18"/>
              </w:rPr>
            </w:pPr>
            <w:r>
              <w:rPr>
                <w:rFonts w:hint="eastAsia"/>
                <w:sz w:val="18"/>
                <w:szCs w:val="18"/>
              </w:rPr>
              <w:t>9</w:t>
            </w:r>
          </w:p>
        </w:tc>
        <w:tc>
          <w:tcPr>
            <w:tcW w:w="1020" w:type="dxa"/>
            <w:vAlign w:val="center"/>
          </w:tcPr>
          <w:p>
            <w:pPr>
              <w:spacing w:line="240" w:lineRule="exact"/>
              <w:jc w:val="center"/>
              <w:rPr>
                <w:rFonts w:ascii="宋体" w:hAnsi="宋体"/>
                <w:sz w:val="18"/>
                <w:szCs w:val="18"/>
              </w:rPr>
            </w:pPr>
            <w:r>
              <w:rPr>
                <w:rFonts w:hint="eastAsia" w:ascii="宋体" w:hAnsi="宋体"/>
                <w:sz w:val="18"/>
                <w:szCs w:val="18"/>
              </w:rPr>
              <w:t>劳动与美育</w:t>
            </w:r>
          </w:p>
        </w:tc>
        <w:tc>
          <w:tcPr>
            <w:tcW w:w="6589" w:type="dxa"/>
            <w:vAlign w:val="center"/>
          </w:tcPr>
          <w:p>
            <w:pPr>
              <w:spacing w:line="240" w:lineRule="exact"/>
              <w:ind w:firstLine="361" w:firstLineChars="200"/>
              <w:rPr>
                <w:rFonts w:ascii="宋体" w:hAnsi="宋体"/>
                <w:sz w:val="18"/>
                <w:szCs w:val="18"/>
              </w:rPr>
            </w:pPr>
            <w:r>
              <w:rPr>
                <w:rFonts w:hint="eastAsia" w:ascii="宋体" w:hAnsi="宋体"/>
                <w:b/>
                <w:bCs/>
                <w:sz w:val="18"/>
                <w:szCs w:val="18"/>
              </w:rPr>
              <w:t>主要内容：</w:t>
            </w:r>
            <w:r>
              <w:rPr>
                <w:rFonts w:hint="eastAsia" w:ascii="宋体" w:hAnsi="宋体"/>
                <w:sz w:val="18"/>
                <w:szCs w:val="18"/>
              </w:rPr>
              <w:t>主要讲授劳动精神、劳模精神、工匠精神、劳动组织、劳动安全和劳动法规、美与审美的基本理论、自然审美、社会审美、艺术审美活动等内容。增强学生职业认同和劳动自豪感，培育爱岗敬业的劳动态度，严谨专注、精益求精、追求卓越的工匠精神，树立正确的审美观，提高审美境界、审美能力以及提高审美活动和审美教育的自觉性。</w:t>
            </w:r>
          </w:p>
          <w:p>
            <w:pPr>
              <w:spacing w:line="240" w:lineRule="exact"/>
              <w:ind w:firstLine="361" w:firstLineChars="200"/>
              <w:rPr>
                <w:rFonts w:ascii="宋体" w:hAnsi="宋体"/>
                <w:sz w:val="18"/>
                <w:szCs w:val="18"/>
              </w:rPr>
            </w:pPr>
            <w:r>
              <w:rPr>
                <w:rFonts w:hint="eastAsia" w:ascii="宋体" w:hAnsi="宋体"/>
                <w:b/>
                <w:bCs/>
                <w:sz w:val="18"/>
                <w:szCs w:val="18"/>
              </w:rPr>
              <w:t>教学要求</w:t>
            </w:r>
            <w:r>
              <w:rPr>
                <w:rFonts w:hint="eastAsia" w:ascii="宋体" w:hAnsi="宋体"/>
                <w:sz w:val="18"/>
                <w:szCs w:val="18"/>
              </w:rPr>
              <w:t>：使学生树立正确的劳动观点和劳动态度，养成诚实守信、吃苦耐劳的劳动品质和珍惜劳动成果、杜绝浪费的消费习惯。握基本的劳动知识和技能，能够结合所学专业知识，解决实际问题。掌握基本的美学理论，具备一定的审美能力。</w:t>
            </w:r>
          </w:p>
        </w:tc>
        <w:tc>
          <w:tcPr>
            <w:tcW w:w="996" w:type="dxa"/>
            <w:vAlign w:val="center"/>
          </w:tcPr>
          <w:p>
            <w:pPr>
              <w:spacing w:line="240" w:lineRule="exact"/>
              <w:jc w:val="center"/>
              <w:rPr>
                <w:rFonts w:ascii="宋体" w:hAnsi="宋体"/>
                <w:sz w:val="18"/>
                <w:szCs w:val="18"/>
              </w:rPr>
            </w:pPr>
            <w:r>
              <w:rPr>
                <w:rFonts w:hint="eastAsia" w:ascii="宋体" w:hAnsi="宋体"/>
                <w:sz w:val="18"/>
                <w:szCs w:val="18"/>
              </w:rPr>
              <w:t>2/32</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675" w:type="dxa"/>
            <w:vAlign w:val="center"/>
          </w:tcPr>
          <w:p>
            <w:pPr>
              <w:jc w:val="center"/>
              <w:rPr>
                <w:sz w:val="18"/>
                <w:szCs w:val="18"/>
              </w:rPr>
            </w:pPr>
            <w:r>
              <w:rPr>
                <w:rFonts w:hint="eastAsia"/>
                <w:sz w:val="18"/>
                <w:szCs w:val="18"/>
              </w:rPr>
              <w:t>10</w:t>
            </w:r>
          </w:p>
        </w:tc>
        <w:tc>
          <w:tcPr>
            <w:tcW w:w="1020" w:type="dxa"/>
            <w:vAlign w:val="center"/>
          </w:tcPr>
          <w:p>
            <w:pPr>
              <w:spacing w:line="240" w:lineRule="exact"/>
              <w:jc w:val="center"/>
              <w:rPr>
                <w:rFonts w:ascii="宋体" w:hAnsi="宋体"/>
                <w:sz w:val="18"/>
                <w:szCs w:val="18"/>
              </w:rPr>
            </w:pPr>
            <w:r>
              <w:rPr>
                <w:rFonts w:hint="eastAsia" w:ascii="宋体" w:hAnsi="宋体"/>
                <w:sz w:val="18"/>
                <w:szCs w:val="18"/>
              </w:rPr>
              <w:t>大学生创业基础</w:t>
            </w:r>
          </w:p>
        </w:tc>
        <w:tc>
          <w:tcPr>
            <w:tcW w:w="6589" w:type="dxa"/>
            <w:vAlign w:val="center"/>
          </w:tcPr>
          <w:p>
            <w:pPr>
              <w:spacing w:line="240" w:lineRule="exact"/>
              <w:ind w:firstLine="354" w:firstLineChars="196"/>
              <w:rPr>
                <w:rFonts w:ascii="宋体" w:hAnsi="宋体"/>
                <w:sz w:val="18"/>
                <w:szCs w:val="18"/>
              </w:rPr>
            </w:pPr>
            <w:r>
              <w:rPr>
                <w:rFonts w:hint="eastAsia" w:ascii="宋体" w:hAnsi="宋体"/>
                <w:b/>
                <w:bCs/>
                <w:sz w:val="18"/>
                <w:szCs w:val="18"/>
              </w:rPr>
              <w:t>主要内容：</w:t>
            </w:r>
            <w:r>
              <w:rPr>
                <w:rFonts w:hint="eastAsia" w:ascii="宋体" w:hAnsi="宋体"/>
                <w:sz w:val="18"/>
                <w:szCs w:val="18"/>
              </w:rPr>
              <w:t>从创新教育</w:t>
            </w:r>
            <w:r>
              <w:rPr>
                <w:rFonts w:ascii="宋体" w:hAnsi="宋体"/>
                <w:sz w:val="18"/>
                <w:szCs w:val="18"/>
              </w:rPr>
              <w:t>、</w:t>
            </w:r>
            <w:r>
              <w:rPr>
                <w:rFonts w:hint="eastAsia" w:ascii="宋体" w:hAnsi="宋体"/>
                <w:sz w:val="18"/>
                <w:szCs w:val="18"/>
              </w:rPr>
              <w:t>创业教育</w:t>
            </w:r>
            <w:r>
              <w:rPr>
                <w:rFonts w:ascii="宋体" w:hAnsi="宋体"/>
                <w:sz w:val="18"/>
                <w:szCs w:val="18"/>
              </w:rPr>
              <w:t>和专业教育</w:t>
            </w:r>
            <w:r>
              <w:rPr>
                <w:rFonts w:hint="eastAsia" w:ascii="宋体" w:hAnsi="宋体"/>
                <w:sz w:val="18"/>
                <w:szCs w:val="18"/>
              </w:rPr>
              <w:t>相融合的角度，</w:t>
            </w:r>
            <w:r>
              <w:rPr>
                <w:rFonts w:ascii="宋体" w:hAnsi="宋体"/>
                <w:sz w:val="18"/>
                <w:szCs w:val="18"/>
              </w:rPr>
              <w:t>通过</w:t>
            </w:r>
            <w:r>
              <w:rPr>
                <w:rFonts w:hint="eastAsia" w:ascii="宋体" w:hAnsi="宋体"/>
                <w:sz w:val="18"/>
                <w:szCs w:val="18"/>
              </w:rPr>
              <w:t>创新基本理论、创业团队组建、发掘创业机会、分析创业市场、整合创业资源、推演创业项目等内容</w:t>
            </w:r>
            <w:r>
              <w:rPr>
                <w:rFonts w:ascii="宋体" w:hAnsi="宋体"/>
                <w:sz w:val="18"/>
                <w:szCs w:val="18"/>
              </w:rPr>
              <w:t>学习，</w:t>
            </w:r>
            <w:r>
              <w:rPr>
                <w:rFonts w:hint="eastAsia" w:ascii="宋体" w:hAnsi="宋体"/>
                <w:sz w:val="18"/>
                <w:szCs w:val="18"/>
              </w:rPr>
              <w:t>使学生在参与教学过程中体验、参悟和提高创新创业能力。</w:t>
            </w:r>
          </w:p>
          <w:p>
            <w:pPr>
              <w:spacing w:line="240" w:lineRule="exact"/>
              <w:ind w:firstLine="354" w:firstLineChars="196"/>
              <w:rPr>
                <w:rFonts w:ascii="宋体" w:hAnsi="宋体"/>
                <w:sz w:val="18"/>
                <w:szCs w:val="18"/>
              </w:rPr>
            </w:pPr>
            <w:r>
              <w:rPr>
                <w:rFonts w:hint="eastAsia" w:ascii="宋体" w:hAnsi="宋体"/>
                <w:b/>
                <w:bCs/>
                <w:sz w:val="18"/>
                <w:szCs w:val="18"/>
              </w:rPr>
              <w:t>教学要求</w:t>
            </w:r>
            <w:r>
              <w:rPr>
                <w:rFonts w:hint="eastAsia" w:ascii="宋体" w:hAnsi="宋体"/>
                <w:sz w:val="18"/>
                <w:szCs w:val="18"/>
              </w:rPr>
              <w:t>：掌握创新创业的基本知识，熟悉创业基本流程和基本方法，了解创新创业的法律法规和相关政策，认知创新创业的基本内涵和创业活动的特殊性，全面提升学生创新创业意识、创新创业能力，增强学生社会责任感、创新精神和创业能力</w:t>
            </w:r>
            <w:r>
              <w:rPr>
                <w:rFonts w:ascii="宋体" w:hAnsi="宋体"/>
                <w:sz w:val="18"/>
                <w:szCs w:val="18"/>
              </w:rPr>
              <w:t>，促进创业就业和全面发展</w:t>
            </w:r>
            <w:r>
              <w:rPr>
                <w:rFonts w:hint="eastAsia" w:ascii="宋体" w:hAnsi="宋体"/>
                <w:sz w:val="18"/>
                <w:szCs w:val="18"/>
              </w:rPr>
              <w:t>。</w:t>
            </w:r>
          </w:p>
        </w:tc>
        <w:tc>
          <w:tcPr>
            <w:tcW w:w="996" w:type="dxa"/>
            <w:vAlign w:val="center"/>
          </w:tcPr>
          <w:p>
            <w:pPr>
              <w:spacing w:line="240" w:lineRule="exact"/>
              <w:jc w:val="center"/>
              <w:rPr>
                <w:rFonts w:ascii="宋体" w:hAnsi="宋体"/>
                <w:sz w:val="18"/>
                <w:szCs w:val="18"/>
              </w:rPr>
            </w:pPr>
            <w:r>
              <w:rPr>
                <w:rFonts w:hint="eastAsia" w:ascii="宋体" w:hAnsi="宋体"/>
                <w:sz w:val="18"/>
                <w:szCs w:val="18"/>
              </w:rPr>
              <w:t>2/36</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675" w:type="dxa"/>
            <w:vAlign w:val="center"/>
          </w:tcPr>
          <w:p>
            <w:pPr>
              <w:jc w:val="center"/>
              <w:rPr>
                <w:sz w:val="18"/>
                <w:szCs w:val="18"/>
              </w:rPr>
            </w:pPr>
            <w:r>
              <w:rPr>
                <w:rFonts w:hint="eastAsia"/>
                <w:sz w:val="18"/>
                <w:szCs w:val="18"/>
              </w:rPr>
              <w:t>11</w:t>
            </w:r>
          </w:p>
        </w:tc>
        <w:tc>
          <w:tcPr>
            <w:tcW w:w="1020" w:type="dxa"/>
            <w:vAlign w:val="center"/>
          </w:tcPr>
          <w:p>
            <w:pPr>
              <w:spacing w:line="240" w:lineRule="exact"/>
              <w:jc w:val="center"/>
              <w:rPr>
                <w:rFonts w:ascii="宋体" w:hAnsi="宋体"/>
                <w:sz w:val="18"/>
                <w:szCs w:val="18"/>
              </w:rPr>
            </w:pPr>
            <w:r>
              <w:rPr>
                <w:rFonts w:hint="eastAsia" w:ascii="宋体" w:hAnsi="宋体"/>
                <w:sz w:val="18"/>
                <w:szCs w:val="18"/>
              </w:rPr>
              <w:t>职业生涯发展规划与就业指导</w:t>
            </w:r>
          </w:p>
        </w:tc>
        <w:tc>
          <w:tcPr>
            <w:tcW w:w="6589" w:type="dxa"/>
            <w:vAlign w:val="center"/>
          </w:tcPr>
          <w:p>
            <w:pPr>
              <w:spacing w:line="240" w:lineRule="exact"/>
              <w:ind w:firstLine="354" w:firstLineChars="196"/>
              <w:rPr>
                <w:rFonts w:ascii="宋体" w:hAnsi="宋体"/>
                <w:sz w:val="18"/>
                <w:szCs w:val="18"/>
              </w:rPr>
            </w:pPr>
            <w:r>
              <w:rPr>
                <w:rFonts w:hint="eastAsia" w:ascii="宋体" w:hAnsi="宋体"/>
                <w:b/>
                <w:bCs/>
                <w:sz w:val="18"/>
                <w:szCs w:val="18"/>
              </w:rPr>
              <w:t>主要内容：</w:t>
            </w:r>
            <w:r>
              <w:rPr>
                <w:rFonts w:hint="eastAsia" w:ascii="宋体" w:hAnsi="宋体"/>
                <w:sz w:val="18"/>
                <w:szCs w:val="18"/>
              </w:rPr>
              <w:t>自我认知、社会环境认知、科学决策的方法、确立生涯目标；了解职场与职位、掌握简历写作方法、学习面试成功经验、提升大学生的就业能力。</w:t>
            </w:r>
          </w:p>
          <w:p>
            <w:pPr>
              <w:spacing w:line="240" w:lineRule="exact"/>
              <w:ind w:firstLine="354" w:firstLineChars="196"/>
              <w:rPr>
                <w:sz w:val="18"/>
                <w:szCs w:val="18"/>
              </w:rPr>
            </w:pPr>
            <w:r>
              <w:rPr>
                <w:rFonts w:hint="eastAsia" w:ascii="宋体" w:hAnsi="宋体"/>
                <w:b/>
                <w:bCs/>
                <w:sz w:val="18"/>
                <w:szCs w:val="18"/>
              </w:rPr>
              <w:t>教学要求</w:t>
            </w:r>
            <w:r>
              <w:rPr>
                <w:rFonts w:hint="eastAsia" w:ascii="宋体" w:hAnsi="宋体"/>
                <w:sz w:val="18"/>
                <w:szCs w:val="18"/>
              </w:rPr>
              <w:t>：了解和掌握职业生涯规划的基本知识。增强大学生职业生涯规划的能力，帮助大学生更好的解决职业生涯过程中遇到的问题。</w:t>
            </w:r>
          </w:p>
        </w:tc>
        <w:tc>
          <w:tcPr>
            <w:tcW w:w="996" w:type="dxa"/>
            <w:vAlign w:val="center"/>
          </w:tcPr>
          <w:p>
            <w:pPr>
              <w:spacing w:line="240" w:lineRule="exact"/>
              <w:jc w:val="center"/>
              <w:rPr>
                <w:rFonts w:ascii="宋体" w:hAnsi="宋体"/>
                <w:sz w:val="18"/>
                <w:szCs w:val="18"/>
              </w:rPr>
            </w:pPr>
            <w:r>
              <w:rPr>
                <w:rFonts w:hint="eastAsia" w:ascii="宋体" w:hAnsi="宋体"/>
                <w:sz w:val="18"/>
                <w:szCs w:val="18"/>
              </w:rPr>
              <w:t>2/40</w:t>
            </w:r>
          </w:p>
        </w:tc>
      </w:tr>
    </w:tbl>
    <w:p>
      <w:pPr>
        <w:spacing w:line="400" w:lineRule="exact"/>
        <w:ind w:firstLine="422" w:firstLineChars="200"/>
        <w:jc w:val="left"/>
        <w:rPr>
          <w:b/>
          <w:bCs/>
          <w:color w:val="000000"/>
          <w:kern w:val="0"/>
          <w:szCs w:val="21"/>
        </w:rPr>
      </w:pPr>
      <w:r>
        <w:rPr>
          <w:b/>
          <w:bCs/>
          <w:color w:val="000000"/>
          <w:kern w:val="0"/>
          <w:szCs w:val="21"/>
        </w:rPr>
        <w:t>（三）主要专业课教学内容与要求</w:t>
      </w:r>
    </w:p>
    <w:p>
      <w:pPr>
        <w:spacing w:line="400" w:lineRule="exact"/>
        <w:ind w:firstLine="420" w:firstLineChars="200"/>
        <w:jc w:val="left"/>
        <w:rPr>
          <w:color w:val="000000"/>
          <w:kern w:val="0"/>
          <w:szCs w:val="21"/>
          <w:highlight w:val="none"/>
        </w:rPr>
      </w:pPr>
      <w:r>
        <w:rPr>
          <w:color w:val="000000"/>
          <w:kern w:val="0"/>
          <w:szCs w:val="21"/>
          <w:highlight w:val="none"/>
        </w:rPr>
        <w:t>1.专业核心课主要教学内容与要求</w:t>
      </w:r>
    </w:p>
    <w:p>
      <w:pPr>
        <w:pStyle w:val="5"/>
        <w:keepNext/>
        <w:jc w:val="center"/>
        <w:rPr>
          <w:rFonts w:ascii="Times New Roman" w:hAnsi="Times New Roman" w:eastAsia="宋体"/>
          <w:b/>
          <w:bCs/>
          <w:color w:val="000000"/>
          <w:sz w:val="18"/>
          <w:szCs w:val="18"/>
        </w:rPr>
      </w:pPr>
      <w:r>
        <w:rPr>
          <w:rFonts w:ascii="Times New Roman" w:hAnsi="Times New Roman" w:eastAsia="宋体"/>
          <w:b/>
          <w:bCs/>
          <w:color w:val="000000"/>
          <w:sz w:val="18"/>
          <w:szCs w:val="18"/>
        </w:rPr>
        <w:t>表5专业核心课主要教学内容与要求</w:t>
      </w:r>
    </w:p>
    <w:tbl>
      <w:tblPr>
        <w:tblStyle w:val="13"/>
        <w:tblW w:w="9265" w:type="dxa"/>
        <w:tblInd w:w="-368" w:type="dxa"/>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autofit"/>
        <w:tblCellMar>
          <w:top w:w="0" w:type="dxa"/>
          <w:left w:w="108" w:type="dxa"/>
          <w:bottom w:w="0" w:type="dxa"/>
          <w:right w:w="108" w:type="dxa"/>
        </w:tblCellMar>
      </w:tblPr>
      <w:tblGrid>
        <w:gridCol w:w="673"/>
        <w:gridCol w:w="1009"/>
        <w:gridCol w:w="1771"/>
        <w:gridCol w:w="2693"/>
        <w:gridCol w:w="2127"/>
        <w:gridCol w:w="992"/>
      </w:tblGrid>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673" w:type="dxa"/>
            <w:shd w:val="clear" w:color="auto" w:fill="F1F1F1" w:themeFill="background1" w:themeFillShade="F2"/>
            <w:vAlign w:val="center"/>
          </w:tcPr>
          <w:p>
            <w:pPr>
              <w:pStyle w:val="2"/>
              <w:jc w:val="center"/>
              <w:rPr>
                <w:kern w:val="0"/>
                <w:sz w:val="18"/>
                <w:szCs w:val="18"/>
              </w:rPr>
            </w:pPr>
            <w:r>
              <w:rPr>
                <w:kern w:val="0"/>
                <w:sz w:val="18"/>
                <w:szCs w:val="18"/>
              </w:rPr>
              <w:t>序号</w:t>
            </w:r>
          </w:p>
        </w:tc>
        <w:tc>
          <w:tcPr>
            <w:tcW w:w="1009" w:type="dxa"/>
            <w:shd w:val="clear" w:color="auto" w:fill="F1F1F1" w:themeFill="background1" w:themeFillShade="F2"/>
            <w:vAlign w:val="center"/>
          </w:tcPr>
          <w:p>
            <w:pPr>
              <w:pStyle w:val="2"/>
              <w:jc w:val="center"/>
              <w:rPr>
                <w:kern w:val="0"/>
                <w:sz w:val="18"/>
                <w:szCs w:val="18"/>
              </w:rPr>
            </w:pPr>
            <w:r>
              <w:rPr>
                <w:kern w:val="0"/>
                <w:sz w:val="18"/>
                <w:szCs w:val="18"/>
              </w:rPr>
              <w:t>课程名称</w:t>
            </w:r>
          </w:p>
        </w:tc>
        <w:tc>
          <w:tcPr>
            <w:tcW w:w="1771" w:type="dxa"/>
            <w:shd w:val="clear" w:color="auto" w:fill="F1F1F1" w:themeFill="background1" w:themeFillShade="F2"/>
            <w:vAlign w:val="center"/>
          </w:tcPr>
          <w:p>
            <w:pPr>
              <w:pStyle w:val="2"/>
              <w:jc w:val="center"/>
              <w:rPr>
                <w:kern w:val="0"/>
                <w:sz w:val="18"/>
                <w:szCs w:val="18"/>
              </w:rPr>
            </w:pPr>
            <w:r>
              <w:rPr>
                <w:kern w:val="0"/>
                <w:sz w:val="18"/>
                <w:szCs w:val="18"/>
              </w:rPr>
              <w:t>典型工作任务描述</w:t>
            </w:r>
          </w:p>
        </w:tc>
        <w:tc>
          <w:tcPr>
            <w:tcW w:w="2693" w:type="dxa"/>
            <w:shd w:val="clear" w:color="auto" w:fill="F1F1F1" w:themeFill="background1" w:themeFillShade="F2"/>
            <w:vAlign w:val="center"/>
          </w:tcPr>
          <w:p>
            <w:pPr>
              <w:pStyle w:val="2"/>
              <w:jc w:val="center"/>
              <w:rPr>
                <w:kern w:val="0"/>
                <w:sz w:val="18"/>
                <w:szCs w:val="18"/>
              </w:rPr>
            </w:pPr>
            <w:r>
              <w:rPr>
                <w:kern w:val="0"/>
                <w:sz w:val="18"/>
                <w:szCs w:val="18"/>
              </w:rPr>
              <w:t>主要教学内容与要求</w:t>
            </w:r>
          </w:p>
        </w:tc>
        <w:tc>
          <w:tcPr>
            <w:tcW w:w="2127" w:type="dxa"/>
            <w:shd w:val="clear" w:color="auto" w:fill="F1F1F1" w:themeFill="background1" w:themeFillShade="F2"/>
            <w:vAlign w:val="center"/>
          </w:tcPr>
          <w:p>
            <w:pPr>
              <w:pStyle w:val="2"/>
              <w:jc w:val="center"/>
              <w:rPr>
                <w:kern w:val="0"/>
                <w:sz w:val="18"/>
                <w:szCs w:val="18"/>
              </w:rPr>
            </w:pPr>
            <w:r>
              <w:rPr>
                <w:kern w:val="0"/>
                <w:sz w:val="18"/>
                <w:szCs w:val="18"/>
              </w:rPr>
              <w:t>课程思政育人</w:t>
            </w:r>
          </w:p>
        </w:tc>
        <w:tc>
          <w:tcPr>
            <w:tcW w:w="992" w:type="dxa"/>
            <w:shd w:val="clear" w:color="auto" w:fill="F1F1F1" w:themeFill="background1" w:themeFillShade="F2"/>
            <w:vAlign w:val="center"/>
          </w:tcPr>
          <w:p>
            <w:pPr>
              <w:pStyle w:val="2"/>
              <w:jc w:val="center"/>
              <w:rPr>
                <w:kern w:val="0"/>
                <w:sz w:val="18"/>
                <w:szCs w:val="18"/>
              </w:rPr>
            </w:pPr>
            <w:r>
              <w:rPr>
                <w:sz w:val="18"/>
                <w:szCs w:val="18"/>
              </w:rPr>
              <w:t>学分/学时</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673" w:type="dxa"/>
            <w:shd w:val="clear" w:color="auto" w:fill="auto"/>
            <w:vAlign w:val="center"/>
          </w:tcPr>
          <w:p>
            <w:pPr>
              <w:pStyle w:val="2"/>
              <w:jc w:val="center"/>
              <w:rPr>
                <w:kern w:val="0"/>
                <w:sz w:val="18"/>
                <w:szCs w:val="18"/>
              </w:rPr>
            </w:pPr>
            <w:r>
              <w:rPr>
                <w:kern w:val="0"/>
                <w:sz w:val="18"/>
                <w:szCs w:val="18"/>
              </w:rPr>
              <w:t>1</w:t>
            </w:r>
          </w:p>
        </w:tc>
        <w:tc>
          <w:tcPr>
            <w:tcW w:w="1009" w:type="dxa"/>
            <w:shd w:val="clear" w:color="auto" w:fill="auto"/>
            <w:vAlign w:val="center"/>
          </w:tcPr>
          <w:p>
            <w:pPr>
              <w:pStyle w:val="2"/>
              <w:jc w:val="center"/>
              <w:rPr>
                <w:kern w:val="0"/>
                <w:sz w:val="18"/>
                <w:szCs w:val="18"/>
              </w:rPr>
            </w:pPr>
            <w:r>
              <w:rPr>
                <w:rFonts w:hint="eastAsia"/>
                <w:kern w:val="0"/>
                <w:sz w:val="18"/>
                <w:szCs w:val="18"/>
              </w:rPr>
              <w:t>仓储管理实务</w:t>
            </w:r>
          </w:p>
        </w:tc>
        <w:tc>
          <w:tcPr>
            <w:tcW w:w="1771" w:type="dxa"/>
            <w:shd w:val="clear" w:color="auto" w:fill="auto"/>
            <w:vAlign w:val="center"/>
          </w:tcPr>
          <w:p>
            <w:pPr>
              <w:pStyle w:val="2"/>
              <w:jc w:val="left"/>
              <w:rPr>
                <w:kern w:val="0"/>
                <w:sz w:val="18"/>
                <w:szCs w:val="18"/>
              </w:rPr>
            </w:pPr>
            <w:r>
              <w:rPr>
                <w:rFonts w:hint="eastAsia"/>
                <w:kern w:val="0"/>
                <w:sz w:val="18"/>
                <w:szCs w:val="18"/>
              </w:rPr>
              <w:t>1</w:t>
            </w:r>
            <w:r>
              <w:rPr>
                <w:kern w:val="0"/>
                <w:sz w:val="18"/>
                <w:szCs w:val="18"/>
              </w:rPr>
              <w:t>-1</w:t>
            </w:r>
            <w:r>
              <w:rPr>
                <w:rFonts w:hint="eastAsia"/>
                <w:kern w:val="0"/>
                <w:sz w:val="18"/>
                <w:szCs w:val="18"/>
              </w:rPr>
              <w:t>仓储认知</w:t>
            </w:r>
          </w:p>
          <w:p>
            <w:pPr>
              <w:pStyle w:val="2"/>
              <w:jc w:val="left"/>
              <w:rPr>
                <w:kern w:val="0"/>
                <w:sz w:val="18"/>
                <w:szCs w:val="18"/>
              </w:rPr>
            </w:pPr>
            <w:r>
              <w:rPr>
                <w:rFonts w:hint="eastAsia"/>
                <w:kern w:val="0"/>
                <w:sz w:val="18"/>
                <w:szCs w:val="18"/>
              </w:rPr>
              <w:t>1</w:t>
            </w:r>
            <w:r>
              <w:rPr>
                <w:kern w:val="0"/>
                <w:sz w:val="18"/>
                <w:szCs w:val="18"/>
              </w:rPr>
              <w:t>-2</w:t>
            </w:r>
            <w:r>
              <w:rPr>
                <w:rFonts w:hint="eastAsia"/>
                <w:kern w:val="0"/>
                <w:sz w:val="18"/>
                <w:szCs w:val="18"/>
              </w:rPr>
              <w:t>仓储业务</w:t>
            </w:r>
          </w:p>
          <w:p>
            <w:pPr>
              <w:pStyle w:val="2"/>
              <w:jc w:val="left"/>
              <w:rPr>
                <w:kern w:val="0"/>
                <w:sz w:val="18"/>
                <w:szCs w:val="18"/>
              </w:rPr>
            </w:pPr>
            <w:r>
              <w:rPr>
                <w:rFonts w:hint="eastAsia"/>
                <w:kern w:val="0"/>
                <w:sz w:val="18"/>
                <w:szCs w:val="18"/>
              </w:rPr>
              <w:t>1</w:t>
            </w:r>
            <w:r>
              <w:rPr>
                <w:kern w:val="0"/>
                <w:sz w:val="18"/>
                <w:szCs w:val="18"/>
              </w:rPr>
              <w:t>-3</w:t>
            </w:r>
            <w:r>
              <w:rPr>
                <w:rFonts w:hint="eastAsia"/>
                <w:kern w:val="0"/>
                <w:sz w:val="18"/>
                <w:szCs w:val="18"/>
              </w:rPr>
              <w:t>库存管理</w:t>
            </w:r>
          </w:p>
          <w:p>
            <w:pPr>
              <w:pStyle w:val="2"/>
              <w:jc w:val="left"/>
              <w:rPr>
                <w:kern w:val="0"/>
                <w:sz w:val="18"/>
                <w:szCs w:val="18"/>
              </w:rPr>
            </w:pPr>
            <w:r>
              <w:rPr>
                <w:rFonts w:hint="eastAsia"/>
                <w:kern w:val="0"/>
                <w:sz w:val="18"/>
                <w:szCs w:val="18"/>
              </w:rPr>
              <w:t>1</w:t>
            </w:r>
            <w:r>
              <w:rPr>
                <w:kern w:val="0"/>
                <w:sz w:val="18"/>
                <w:szCs w:val="18"/>
              </w:rPr>
              <w:t>-4</w:t>
            </w:r>
            <w:r>
              <w:rPr>
                <w:rFonts w:hint="eastAsia"/>
                <w:kern w:val="0"/>
                <w:sz w:val="18"/>
                <w:szCs w:val="18"/>
              </w:rPr>
              <w:t>仓储经营</w:t>
            </w:r>
          </w:p>
          <w:p>
            <w:pPr>
              <w:pStyle w:val="2"/>
              <w:jc w:val="left"/>
              <w:rPr>
                <w:kern w:val="0"/>
                <w:sz w:val="18"/>
                <w:szCs w:val="18"/>
              </w:rPr>
            </w:pPr>
            <w:r>
              <w:rPr>
                <w:rFonts w:hint="eastAsia"/>
                <w:kern w:val="0"/>
                <w:sz w:val="18"/>
                <w:szCs w:val="18"/>
              </w:rPr>
              <w:t>1</w:t>
            </w:r>
            <w:r>
              <w:rPr>
                <w:kern w:val="0"/>
                <w:sz w:val="18"/>
                <w:szCs w:val="18"/>
              </w:rPr>
              <w:t>-5</w:t>
            </w:r>
            <w:r>
              <w:rPr>
                <w:rFonts w:hint="eastAsia"/>
                <w:kern w:val="0"/>
                <w:sz w:val="18"/>
                <w:szCs w:val="18"/>
              </w:rPr>
              <w:t>仓储管理技术</w:t>
            </w:r>
          </w:p>
          <w:p>
            <w:pPr>
              <w:pStyle w:val="2"/>
              <w:jc w:val="left"/>
              <w:rPr>
                <w:kern w:val="0"/>
                <w:sz w:val="18"/>
                <w:szCs w:val="18"/>
              </w:rPr>
            </w:pPr>
            <w:r>
              <w:rPr>
                <w:rFonts w:hint="eastAsia"/>
                <w:kern w:val="0"/>
                <w:sz w:val="18"/>
                <w:szCs w:val="18"/>
              </w:rPr>
              <w:t>1</w:t>
            </w:r>
            <w:r>
              <w:rPr>
                <w:kern w:val="0"/>
                <w:sz w:val="18"/>
                <w:szCs w:val="18"/>
              </w:rPr>
              <w:t>-6</w:t>
            </w:r>
            <w:r>
              <w:rPr>
                <w:rFonts w:hint="eastAsia"/>
                <w:kern w:val="0"/>
                <w:sz w:val="18"/>
                <w:szCs w:val="18"/>
              </w:rPr>
              <w:t>仓储新技术及业务</w:t>
            </w:r>
          </w:p>
          <w:p>
            <w:pPr>
              <w:pStyle w:val="2"/>
              <w:jc w:val="left"/>
              <w:rPr>
                <w:kern w:val="0"/>
                <w:sz w:val="18"/>
                <w:szCs w:val="18"/>
              </w:rPr>
            </w:pPr>
          </w:p>
        </w:tc>
        <w:tc>
          <w:tcPr>
            <w:tcW w:w="2693" w:type="dxa"/>
            <w:shd w:val="clear" w:color="auto" w:fill="auto"/>
            <w:vAlign w:val="center"/>
          </w:tcPr>
          <w:p>
            <w:pPr>
              <w:pStyle w:val="2"/>
              <w:jc w:val="left"/>
              <w:rPr>
                <w:kern w:val="0"/>
                <w:sz w:val="18"/>
                <w:szCs w:val="18"/>
              </w:rPr>
            </w:pPr>
            <w:r>
              <w:rPr>
                <w:rFonts w:hint="eastAsia"/>
                <w:kern w:val="0"/>
                <w:sz w:val="18"/>
                <w:szCs w:val="18"/>
              </w:rPr>
              <w:t>主要内容：仓储的功能与意义；出入库的流程及在库盘点的程序；常用的库存控制方法；常用的仓储管理系统的作用与功能；仓储绩效评价的意义与原则。</w:t>
            </w:r>
          </w:p>
          <w:p>
            <w:pPr>
              <w:pStyle w:val="2"/>
              <w:jc w:val="left"/>
              <w:rPr>
                <w:kern w:val="0"/>
                <w:sz w:val="18"/>
                <w:szCs w:val="18"/>
              </w:rPr>
            </w:pPr>
            <w:r>
              <w:rPr>
                <w:rFonts w:hint="eastAsia"/>
                <w:kern w:val="0"/>
                <w:sz w:val="18"/>
                <w:szCs w:val="18"/>
              </w:rPr>
              <w:t>教学要求：能够应用“</w:t>
            </w:r>
            <w:r>
              <w:rPr>
                <w:kern w:val="0"/>
                <w:sz w:val="18"/>
                <w:szCs w:val="18"/>
              </w:rPr>
              <w:t>6</w:t>
            </w:r>
            <w:r>
              <w:rPr>
                <w:rFonts w:hint="eastAsia"/>
                <w:kern w:val="0"/>
                <w:sz w:val="18"/>
                <w:szCs w:val="18"/>
              </w:rPr>
              <w:t>S”法等进行仓库内部的日常管理；能够根据企业的具体规定进行商品检查、验收、盘点、分拣及包装；能够进行库存控制。</w:t>
            </w:r>
          </w:p>
        </w:tc>
        <w:tc>
          <w:tcPr>
            <w:tcW w:w="2127" w:type="dxa"/>
            <w:shd w:val="clear" w:color="auto" w:fill="auto"/>
            <w:vAlign w:val="center"/>
          </w:tcPr>
          <w:p>
            <w:pPr>
              <w:pStyle w:val="2"/>
              <w:jc w:val="left"/>
              <w:rPr>
                <w:kern w:val="0"/>
                <w:sz w:val="18"/>
                <w:szCs w:val="18"/>
              </w:rPr>
            </w:pPr>
            <w:r>
              <w:rPr>
                <w:rFonts w:hint="eastAsia"/>
                <w:kern w:val="0"/>
                <w:sz w:val="18"/>
                <w:szCs w:val="18"/>
              </w:rPr>
              <w:t>1.能够理论联系实际，具备“知行合一”思想，服务于社会主义仓储行业的建设者和接班人；</w:t>
            </w:r>
          </w:p>
          <w:p>
            <w:pPr>
              <w:pStyle w:val="2"/>
              <w:jc w:val="left"/>
              <w:rPr>
                <w:kern w:val="0"/>
                <w:sz w:val="18"/>
                <w:szCs w:val="18"/>
              </w:rPr>
            </w:pPr>
            <w:r>
              <w:rPr>
                <w:rFonts w:hint="eastAsia"/>
                <w:kern w:val="0"/>
                <w:sz w:val="18"/>
                <w:szCs w:val="18"/>
              </w:rPr>
              <w:t>2</w:t>
            </w:r>
            <w:r>
              <w:rPr>
                <w:kern w:val="0"/>
                <w:sz w:val="18"/>
                <w:szCs w:val="18"/>
              </w:rPr>
              <w:t>.</w:t>
            </w:r>
            <w:r>
              <w:rPr>
                <w:rFonts w:hint="eastAsia"/>
                <w:kern w:val="0"/>
                <w:sz w:val="18"/>
                <w:szCs w:val="18"/>
              </w:rPr>
              <w:t>具备一定的团队意识、成本意识、质量意识、节约意识、风险意识；</w:t>
            </w:r>
          </w:p>
          <w:p>
            <w:pPr>
              <w:pStyle w:val="2"/>
              <w:jc w:val="left"/>
              <w:rPr>
                <w:kern w:val="0"/>
                <w:sz w:val="18"/>
                <w:szCs w:val="18"/>
              </w:rPr>
            </w:pPr>
            <w:r>
              <w:rPr>
                <w:kern w:val="0"/>
                <w:sz w:val="18"/>
                <w:szCs w:val="18"/>
              </w:rPr>
              <w:t>3.</w:t>
            </w:r>
            <w:r>
              <w:rPr>
                <w:rFonts w:hint="eastAsia"/>
                <w:kern w:val="0"/>
                <w:sz w:val="18"/>
                <w:szCs w:val="18"/>
              </w:rPr>
              <w:t>具备规则意识、系统意识、创新创业意识、安全意识、法律意识；</w:t>
            </w:r>
          </w:p>
          <w:p>
            <w:pPr>
              <w:pStyle w:val="2"/>
              <w:jc w:val="left"/>
              <w:rPr>
                <w:kern w:val="0"/>
                <w:sz w:val="18"/>
                <w:szCs w:val="18"/>
              </w:rPr>
            </w:pPr>
            <w:r>
              <w:rPr>
                <w:rFonts w:hint="eastAsia"/>
                <w:kern w:val="0"/>
                <w:sz w:val="18"/>
                <w:szCs w:val="18"/>
              </w:rPr>
              <w:t>4</w:t>
            </w:r>
            <w:r>
              <w:rPr>
                <w:kern w:val="0"/>
                <w:sz w:val="18"/>
                <w:szCs w:val="18"/>
              </w:rPr>
              <w:t>.</w:t>
            </w:r>
            <w:r>
              <w:rPr>
                <w:rFonts w:hint="eastAsia"/>
                <w:kern w:val="0"/>
                <w:sz w:val="18"/>
                <w:szCs w:val="18"/>
              </w:rPr>
              <w:t>培养工匠精神、职业精神。</w:t>
            </w:r>
          </w:p>
        </w:tc>
        <w:tc>
          <w:tcPr>
            <w:tcW w:w="992" w:type="dxa"/>
            <w:vAlign w:val="center"/>
          </w:tcPr>
          <w:p>
            <w:pPr>
              <w:pStyle w:val="2"/>
              <w:jc w:val="center"/>
              <w:rPr>
                <w:kern w:val="0"/>
                <w:sz w:val="18"/>
                <w:szCs w:val="18"/>
              </w:rPr>
            </w:pPr>
            <w:r>
              <w:rPr>
                <w:rFonts w:hint="eastAsia" w:ascii="宋体" w:hAnsi="宋体"/>
                <w:sz w:val="20"/>
                <w:szCs w:val="20"/>
              </w:rPr>
              <w:t>4</w:t>
            </w:r>
            <w:r>
              <w:rPr>
                <w:rFonts w:ascii="宋体" w:hAnsi="宋体"/>
                <w:sz w:val="20"/>
                <w:szCs w:val="20"/>
              </w:rPr>
              <w:t>/64</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673" w:type="dxa"/>
            <w:shd w:val="clear" w:color="auto" w:fill="auto"/>
            <w:vAlign w:val="center"/>
          </w:tcPr>
          <w:p>
            <w:pPr>
              <w:pStyle w:val="2"/>
              <w:jc w:val="center"/>
              <w:rPr>
                <w:kern w:val="0"/>
                <w:sz w:val="18"/>
                <w:szCs w:val="18"/>
              </w:rPr>
            </w:pPr>
            <w:r>
              <w:rPr>
                <w:kern w:val="0"/>
                <w:sz w:val="18"/>
                <w:szCs w:val="18"/>
              </w:rPr>
              <w:t>2</w:t>
            </w:r>
          </w:p>
        </w:tc>
        <w:tc>
          <w:tcPr>
            <w:tcW w:w="1009" w:type="dxa"/>
            <w:shd w:val="clear" w:color="auto" w:fill="auto"/>
            <w:vAlign w:val="center"/>
          </w:tcPr>
          <w:p>
            <w:pPr>
              <w:pStyle w:val="2"/>
              <w:jc w:val="center"/>
              <w:rPr>
                <w:kern w:val="0"/>
                <w:sz w:val="18"/>
                <w:szCs w:val="18"/>
              </w:rPr>
            </w:pPr>
            <w:r>
              <w:rPr>
                <w:rFonts w:hint="eastAsia"/>
                <w:kern w:val="0"/>
                <w:sz w:val="18"/>
                <w:szCs w:val="18"/>
              </w:rPr>
              <w:t>配送管理实务</w:t>
            </w:r>
          </w:p>
        </w:tc>
        <w:tc>
          <w:tcPr>
            <w:tcW w:w="1771" w:type="dxa"/>
            <w:shd w:val="clear" w:color="auto" w:fill="auto"/>
            <w:vAlign w:val="center"/>
          </w:tcPr>
          <w:p>
            <w:pPr>
              <w:pStyle w:val="2"/>
              <w:jc w:val="left"/>
              <w:rPr>
                <w:kern w:val="0"/>
                <w:sz w:val="18"/>
                <w:szCs w:val="18"/>
              </w:rPr>
            </w:pPr>
            <w:r>
              <w:rPr>
                <w:kern w:val="0"/>
                <w:sz w:val="18"/>
                <w:szCs w:val="18"/>
              </w:rPr>
              <w:t>2-1</w:t>
            </w:r>
            <w:r>
              <w:rPr>
                <w:rFonts w:hint="eastAsia"/>
                <w:kern w:val="0"/>
                <w:sz w:val="18"/>
                <w:szCs w:val="18"/>
              </w:rPr>
              <w:t>配送及配送中心认知</w:t>
            </w:r>
          </w:p>
          <w:p>
            <w:pPr>
              <w:pStyle w:val="2"/>
              <w:jc w:val="left"/>
              <w:rPr>
                <w:kern w:val="0"/>
                <w:sz w:val="18"/>
                <w:szCs w:val="18"/>
              </w:rPr>
            </w:pPr>
            <w:r>
              <w:rPr>
                <w:kern w:val="0"/>
                <w:sz w:val="18"/>
                <w:szCs w:val="18"/>
              </w:rPr>
              <w:t>2-2</w:t>
            </w:r>
            <w:r>
              <w:rPr>
                <w:rFonts w:hint="eastAsia"/>
                <w:kern w:val="0"/>
                <w:sz w:val="18"/>
                <w:szCs w:val="18"/>
              </w:rPr>
              <w:t>进货与储存作业</w:t>
            </w:r>
          </w:p>
          <w:p>
            <w:pPr>
              <w:pStyle w:val="2"/>
              <w:jc w:val="left"/>
              <w:rPr>
                <w:kern w:val="0"/>
                <w:sz w:val="18"/>
                <w:szCs w:val="18"/>
              </w:rPr>
            </w:pPr>
            <w:r>
              <w:rPr>
                <w:kern w:val="0"/>
                <w:sz w:val="18"/>
                <w:szCs w:val="18"/>
              </w:rPr>
              <w:t>2-3</w:t>
            </w:r>
            <w:r>
              <w:rPr>
                <w:rFonts w:hint="eastAsia"/>
                <w:kern w:val="0"/>
                <w:sz w:val="18"/>
                <w:szCs w:val="18"/>
              </w:rPr>
              <w:t>拣货作业</w:t>
            </w:r>
          </w:p>
          <w:p>
            <w:pPr>
              <w:pStyle w:val="2"/>
              <w:jc w:val="left"/>
              <w:rPr>
                <w:kern w:val="0"/>
                <w:sz w:val="18"/>
                <w:szCs w:val="18"/>
              </w:rPr>
            </w:pPr>
            <w:r>
              <w:rPr>
                <w:kern w:val="0"/>
                <w:sz w:val="18"/>
                <w:szCs w:val="18"/>
              </w:rPr>
              <w:t>2-4</w:t>
            </w:r>
            <w:r>
              <w:rPr>
                <w:rFonts w:hint="eastAsia"/>
                <w:kern w:val="0"/>
                <w:sz w:val="18"/>
                <w:szCs w:val="18"/>
              </w:rPr>
              <w:t>流通加工</w:t>
            </w:r>
          </w:p>
          <w:p>
            <w:pPr>
              <w:pStyle w:val="2"/>
              <w:jc w:val="left"/>
              <w:rPr>
                <w:kern w:val="0"/>
                <w:sz w:val="18"/>
                <w:szCs w:val="18"/>
              </w:rPr>
            </w:pPr>
            <w:r>
              <w:rPr>
                <w:kern w:val="0"/>
                <w:sz w:val="18"/>
                <w:szCs w:val="18"/>
              </w:rPr>
              <w:t>2-5</w:t>
            </w:r>
            <w:r>
              <w:rPr>
                <w:rFonts w:hint="eastAsia"/>
                <w:kern w:val="0"/>
                <w:sz w:val="18"/>
                <w:szCs w:val="18"/>
              </w:rPr>
              <w:t>配货与送货作业</w:t>
            </w:r>
          </w:p>
        </w:tc>
        <w:tc>
          <w:tcPr>
            <w:tcW w:w="2693" w:type="dxa"/>
            <w:shd w:val="clear" w:color="auto" w:fill="auto"/>
            <w:vAlign w:val="center"/>
          </w:tcPr>
          <w:p>
            <w:pPr>
              <w:pStyle w:val="2"/>
              <w:jc w:val="left"/>
              <w:rPr>
                <w:kern w:val="0"/>
                <w:sz w:val="18"/>
                <w:szCs w:val="18"/>
              </w:rPr>
            </w:pPr>
            <w:r>
              <w:rPr>
                <w:rFonts w:hint="eastAsia"/>
                <w:kern w:val="0"/>
                <w:sz w:val="18"/>
                <w:szCs w:val="18"/>
              </w:rPr>
              <w:t>主要内容：配送作业认知、配送模式选择、订单处理原则、常用地拣货作业方式、流通加工方式、拣货单设计、分货单设计、配送路线优化方法、车辆配载、送货作业计划与调度、补货作业处理、退货作业处理、配送作业绩效评价。</w:t>
            </w:r>
          </w:p>
          <w:p>
            <w:pPr>
              <w:pStyle w:val="2"/>
              <w:jc w:val="left"/>
              <w:rPr>
                <w:kern w:val="0"/>
                <w:sz w:val="18"/>
                <w:szCs w:val="18"/>
              </w:rPr>
            </w:pPr>
            <w:r>
              <w:rPr>
                <w:rFonts w:hint="eastAsia"/>
                <w:kern w:val="0"/>
                <w:sz w:val="18"/>
                <w:szCs w:val="18"/>
              </w:rPr>
              <w:t>教学要求：能正确分析每一种配送模式的优缺点，能根据某个配送中心的门店需求情况和配送中心的现有资源情况，制定一份在时间、路线、成本等方面较为合理的配送计划；能熟练编制有关配送中心的采购订单、入库单、盘点单、出库单、台账等单据。</w:t>
            </w:r>
          </w:p>
        </w:tc>
        <w:tc>
          <w:tcPr>
            <w:tcW w:w="2127" w:type="dxa"/>
            <w:shd w:val="clear" w:color="auto" w:fill="auto"/>
            <w:vAlign w:val="center"/>
          </w:tcPr>
          <w:p>
            <w:pPr>
              <w:pStyle w:val="2"/>
              <w:jc w:val="left"/>
              <w:rPr>
                <w:rFonts w:hint="eastAsia" w:eastAsia="宋体"/>
                <w:kern w:val="0"/>
                <w:sz w:val="18"/>
                <w:szCs w:val="18"/>
                <w:lang w:eastAsia="zh-CN"/>
              </w:rPr>
            </w:pPr>
            <w:r>
              <w:rPr>
                <w:rFonts w:hint="eastAsia"/>
                <w:kern w:val="0"/>
                <w:sz w:val="18"/>
                <w:szCs w:val="18"/>
              </w:rPr>
              <w:t>1．弘扬社会主义核心价值观：国家层次：富强、民主、文明、和谐</w:t>
            </w:r>
            <w:r>
              <w:rPr>
                <w:rFonts w:hint="eastAsia"/>
                <w:kern w:val="0"/>
                <w:sz w:val="18"/>
                <w:szCs w:val="18"/>
                <w:lang w:eastAsia="zh-CN"/>
              </w:rPr>
              <w:t>，</w:t>
            </w:r>
            <w:r>
              <w:rPr>
                <w:rFonts w:hint="eastAsia"/>
                <w:kern w:val="0"/>
                <w:sz w:val="18"/>
                <w:szCs w:val="18"/>
              </w:rPr>
              <w:t>社会层面：自由、平等、公正、法治</w:t>
            </w:r>
            <w:r>
              <w:rPr>
                <w:rFonts w:hint="eastAsia"/>
                <w:kern w:val="0"/>
                <w:sz w:val="18"/>
                <w:szCs w:val="18"/>
                <w:lang w:eastAsia="zh-CN"/>
              </w:rPr>
              <w:t>，</w:t>
            </w:r>
            <w:r>
              <w:rPr>
                <w:rFonts w:hint="eastAsia"/>
                <w:kern w:val="0"/>
                <w:sz w:val="18"/>
                <w:szCs w:val="18"/>
              </w:rPr>
              <w:t>个人层次：爱国、敬业、诚信、友善</w:t>
            </w:r>
            <w:r>
              <w:rPr>
                <w:rFonts w:hint="eastAsia"/>
                <w:kern w:val="0"/>
                <w:sz w:val="18"/>
                <w:szCs w:val="18"/>
                <w:lang w:eastAsia="zh-CN"/>
              </w:rPr>
              <w:t>；</w:t>
            </w:r>
          </w:p>
          <w:p>
            <w:pPr>
              <w:pStyle w:val="2"/>
              <w:jc w:val="left"/>
              <w:rPr>
                <w:kern w:val="0"/>
                <w:sz w:val="18"/>
                <w:szCs w:val="18"/>
              </w:rPr>
            </w:pPr>
            <w:r>
              <w:rPr>
                <w:rFonts w:hint="eastAsia"/>
                <w:kern w:val="0"/>
                <w:sz w:val="18"/>
                <w:szCs w:val="18"/>
              </w:rPr>
              <w:t>2．提升职业素养：吃苦耐劳、创新发展、团队协作、沟通、开拓进取。</w:t>
            </w:r>
          </w:p>
        </w:tc>
        <w:tc>
          <w:tcPr>
            <w:tcW w:w="992" w:type="dxa"/>
            <w:vAlign w:val="center"/>
          </w:tcPr>
          <w:p>
            <w:pPr>
              <w:pStyle w:val="2"/>
              <w:jc w:val="center"/>
              <w:rPr>
                <w:kern w:val="0"/>
                <w:sz w:val="18"/>
                <w:szCs w:val="18"/>
              </w:rPr>
            </w:pPr>
            <w:r>
              <w:rPr>
                <w:rFonts w:hint="eastAsia" w:ascii="宋体" w:hAnsi="宋体"/>
                <w:sz w:val="20"/>
                <w:szCs w:val="20"/>
              </w:rPr>
              <w:t>4</w:t>
            </w:r>
            <w:r>
              <w:rPr>
                <w:rFonts w:ascii="宋体" w:hAnsi="宋体"/>
                <w:sz w:val="20"/>
                <w:szCs w:val="20"/>
              </w:rPr>
              <w:t>/64</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673" w:type="dxa"/>
            <w:shd w:val="clear" w:color="auto" w:fill="auto"/>
            <w:vAlign w:val="center"/>
          </w:tcPr>
          <w:p>
            <w:pPr>
              <w:pStyle w:val="2"/>
              <w:jc w:val="center"/>
              <w:rPr>
                <w:kern w:val="0"/>
                <w:sz w:val="18"/>
                <w:szCs w:val="18"/>
              </w:rPr>
            </w:pPr>
            <w:r>
              <w:rPr>
                <w:kern w:val="0"/>
                <w:sz w:val="18"/>
                <w:szCs w:val="18"/>
              </w:rPr>
              <w:t>3</w:t>
            </w:r>
          </w:p>
        </w:tc>
        <w:tc>
          <w:tcPr>
            <w:tcW w:w="1009" w:type="dxa"/>
            <w:shd w:val="clear" w:color="auto" w:fill="auto"/>
            <w:vAlign w:val="center"/>
          </w:tcPr>
          <w:p>
            <w:pPr>
              <w:pStyle w:val="2"/>
              <w:jc w:val="center"/>
              <w:rPr>
                <w:kern w:val="0"/>
                <w:sz w:val="18"/>
                <w:szCs w:val="18"/>
              </w:rPr>
            </w:pPr>
            <w:r>
              <w:rPr>
                <w:rFonts w:hint="eastAsia"/>
                <w:kern w:val="0"/>
                <w:sz w:val="18"/>
                <w:szCs w:val="18"/>
              </w:rPr>
              <w:t>运输管理</w:t>
            </w:r>
          </w:p>
        </w:tc>
        <w:tc>
          <w:tcPr>
            <w:tcW w:w="1771" w:type="dxa"/>
            <w:shd w:val="clear" w:color="auto" w:fill="auto"/>
            <w:vAlign w:val="center"/>
          </w:tcPr>
          <w:p>
            <w:pPr>
              <w:pStyle w:val="2"/>
              <w:jc w:val="left"/>
              <w:rPr>
                <w:kern w:val="0"/>
                <w:sz w:val="18"/>
                <w:szCs w:val="18"/>
              </w:rPr>
            </w:pPr>
            <w:r>
              <w:rPr>
                <w:kern w:val="0"/>
                <w:sz w:val="18"/>
                <w:szCs w:val="18"/>
              </w:rPr>
              <w:t>3-1</w:t>
            </w:r>
            <w:r>
              <w:rPr>
                <w:rFonts w:hint="eastAsia"/>
                <w:kern w:val="0"/>
                <w:sz w:val="18"/>
                <w:szCs w:val="18"/>
              </w:rPr>
              <w:t>运输管理基础知识</w:t>
            </w:r>
          </w:p>
          <w:p>
            <w:pPr>
              <w:pStyle w:val="2"/>
              <w:jc w:val="left"/>
              <w:rPr>
                <w:kern w:val="0"/>
                <w:sz w:val="18"/>
                <w:szCs w:val="18"/>
              </w:rPr>
            </w:pPr>
            <w:r>
              <w:rPr>
                <w:kern w:val="0"/>
                <w:sz w:val="18"/>
                <w:szCs w:val="18"/>
              </w:rPr>
              <w:t>3-2</w:t>
            </w:r>
            <w:r>
              <w:rPr>
                <w:rFonts w:hint="eastAsia"/>
                <w:kern w:val="0"/>
                <w:sz w:val="18"/>
                <w:szCs w:val="18"/>
              </w:rPr>
              <w:t>公路货物运输</w:t>
            </w:r>
          </w:p>
          <w:p>
            <w:pPr>
              <w:pStyle w:val="2"/>
              <w:jc w:val="left"/>
              <w:rPr>
                <w:kern w:val="0"/>
                <w:sz w:val="18"/>
                <w:szCs w:val="18"/>
              </w:rPr>
            </w:pPr>
            <w:r>
              <w:rPr>
                <w:kern w:val="0"/>
                <w:sz w:val="18"/>
                <w:szCs w:val="18"/>
              </w:rPr>
              <w:t>3-3</w:t>
            </w:r>
            <w:r>
              <w:rPr>
                <w:rFonts w:hint="eastAsia"/>
                <w:kern w:val="0"/>
                <w:sz w:val="18"/>
                <w:szCs w:val="18"/>
              </w:rPr>
              <w:t>水路货物运输</w:t>
            </w:r>
          </w:p>
          <w:p>
            <w:pPr>
              <w:pStyle w:val="2"/>
              <w:jc w:val="left"/>
              <w:rPr>
                <w:kern w:val="0"/>
                <w:sz w:val="18"/>
                <w:szCs w:val="18"/>
              </w:rPr>
            </w:pPr>
            <w:r>
              <w:rPr>
                <w:kern w:val="0"/>
                <w:sz w:val="18"/>
                <w:szCs w:val="18"/>
              </w:rPr>
              <w:t>3-4</w:t>
            </w:r>
            <w:r>
              <w:rPr>
                <w:rFonts w:hint="eastAsia"/>
                <w:kern w:val="0"/>
                <w:sz w:val="18"/>
                <w:szCs w:val="18"/>
              </w:rPr>
              <w:t>铁路货物运输</w:t>
            </w:r>
          </w:p>
          <w:p>
            <w:pPr>
              <w:pStyle w:val="2"/>
              <w:jc w:val="left"/>
              <w:rPr>
                <w:kern w:val="0"/>
                <w:sz w:val="18"/>
                <w:szCs w:val="18"/>
              </w:rPr>
            </w:pPr>
            <w:r>
              <w:rPr>
                <w:kern w:val="0"/>
                <w:sz w:val="18"/>
                <w:szCs w:val="18"/>
              </w:rPr>
              <w:t>3-5</w:t>
            </w:r>
            <w:r>
              <w:rPr>
                <w:rFonts w:hint="eastAsia"/>
                <w:kern w:val="0"/>
                <w:sz w:val="18"/>
                <w:szCs w:val="18"/>
              </w:rPr>
              <w:t>航空货物运输</w:t>
            </w:r>
          </w:p>
          <w:p>
            <w:pPr>
              <w:pStyle w:val="2"/>
              <w:jc w:val="left"/>
              <w:rPr>
                <w:kern w:val="0"/>
                <w:sz w:val="18"/>
                <w:szCs w:val="18"/>
              </w:rPr>
            </w:pPr>
            <w:r>
              <w:rPr>
                <w:kern w:val="0"/>
                <w:sz w:val="18"/>
                <w:szCs w:val="18"/>
              </w:rPr>
              <w:t>3-6</w:t>
            </w:r>
            <w:r>
              <w:rPr>
                <w:rFonts w:hint="eastAsia"/>
                <w:kern w:val="0"/>
                <w:sz w:val="18"/>
                <w:szCs w:val="18"/>
              </w:rPr>
              <w:t>管道运输</w:t>
            </w:r>
          </w:p>
          <w:p>
            <w:pPr>
              <w:pStyle w:val="2"/>
              <w:jc w:val="left"/>
              <w:rPr>
                <w:kern w:val="0"/>
                <w:sz w:val="18"/>
                <w:szCs w:val="18"/>
              </w:rPr>
            </w:pPr>
            <w:r>
              <w:rPr>
                <w:kern w:val="0"/>
                <w:sz w:val="18"/>
                <w:szCs w:val="18"/>
              </w:rPr>
              <w:t>3-7</w:t>
            </w:r>
            <w:r>
              <w:rPr>
                <w:rFonts w:hint="eastAsia"/>
                <w:kern w:val="0"/>
                <w:sz w:val="18"/>
                <w:szCs w:val="18"/>
              </w:rPr>
              <w:t>多式联运</w:t>
            </w:r>
          </w:p>
          <w:p>
            <w:pPr>
              <w:pStyle w:val="2"/>
              <w:jc w:val="left"/>
              <w:rPr>
                <w:kern w:val="0"/>
                <w:sz w:val="18"/>
                <w:szCs w:val="18"/>
              </w:rPr>
            </w:pPr>
            <w:r>
              <w:rPr>
                <w:kern w:val="0"/>
                <w:sz w:val="18"/>
                <w:szCs w:val="18"/>
              </w:rPr>
              <w:t>3-8</w:t>
            </w:r>
            <w:r>
              <w:rPr>
                <w:rFonts w:hint="eastAsia"/>
                <w:kern w:val="0"/>
                <w:sz w:val="18"/>
                <w:szCs w:val="18"/>
              </w:rPr>
              <w:t>货物运输保险与货物运输合同</w:t>
            </w:r>
          </w:p>
          <w:p>
            <w:pPr>
              <w:pStyle w:val="2"/>
              <w:jc w:val="left"/>
              <w:rPr>
                <w:kern w:val="0"/>
                <w:sz w:val="18"/>
                <w:szCs w:val="18"/>
              </w:rPr>
            </w:pPr>
            <w:r>
              <w:rPr>
                <w:kern w:val="0"/>
                <w:sz w:val="18"/>
                <w:szCs w:val="18"/>
              </w:rPr>
              <w:t>3-9</w:t>
            </w:r>
            <w:r>
              <w:rPr>
                <w:rFonts w:hint="eastAsia"/>
                <w:kern w:val="0"/>
                <w:sz w:val="18"/>
                <w:szCs w:val="18"/>
              </w:rPr>
              <w:t>运输决策与管理</w:t>
            </w:r>
          </w:p>
        </w:tc>
        <w:tc>
          <w:tcPr>
            <w:tcW w:w="2693" w:type="dxa"/>
            <w:shd w:val="clear" w:color="auto" w:fill="auto"/>
            <w:vAlign w:val="center"/>
          </w:tcPr>
          <w:p>
            <w:pPr>
              <w:pStyle w:val="2"/>
              <w:jc w:val="left"/>
              <w:rPr>
                <w:kern w:val="0"/>
                <w:sz w:val="18"/>
                <w:szCs w:val="18"/>
              </w:rPr>
            </w:pPr>
            <w:r>
              <w:rPr>
                <w:rFonts w:hint="eastAsia"/>
                <w:kern w:val="0"/>
                <w:sz w:val="18"/>
                <w:szCs w:val="18"/>
              </w:rPr>
              <w:t>主要内容：运输基本知识；不同运输方式的运费计算方法和要求；床用的货物运输合同的编制；多式联运选择的依据和好处等。</w:t>
            </w:r>
          </w:p>
          <w:p>
            <w:pPr>
              <w:pStyle w:val="2"/>
              <w:jc w:val="left"/>
              <w:rPr>
                <w:kern w:val="0"/>
                <w:sz w:val="18"/>
                <w:szCs w:val="18"/>
              </w:rPr>
            </w:pPr>
            <w:r>
              <w:rPr>
                <w:rFonts w:hint="eastAsia"/>
                <w:kern w:val="0"/>
                <w:sz w:val="18"/>
                <w:szCs w:val="18"/>
              </w:rPr>
              <w:t>教学要求：根据货物的种类、货量等条件等选择合理的运输方式；填制托运单和货票；判断某一种类、数量的货物适合零担运输还是整车运输；能根据运价表中的规定正确计算托运货物的计费重量。</w:t>
            </w:r>
          </w:p>
        </w:tc>
        <w:tc>
          <w:tcPr>
            <w:tcW w:w="2127" w:type="dxa"/>
            <w:shd w:val="clear" w:color="auto" w:fill="auto"/>
            <w:vAlign w:val="center"/>
          </w:tcPr>
          <w:p>
            <w:pPr>
              <w:pStyle w:val="2"/>
              <w:jc w:val="left"/>
              <w:rPr>
                <w:kern w:val="0"/>
                <w:sz w:val="18"/>
                <w:szCs w:val="18"/>
              </w:rPr>
            </w:pPr>
            <w:r>
              <w:rPr>
                <w:rFonts w:hint="eastAsia"/>
                <w:kern w:val="0"/>
                <w:sz w:val="18"/>
                <w:szCs w:val="18"/>
              </w:rPr>
              <w:t>1.建立学生的“四个自信”；</w:t>
            </w:r>
          </w:p>
          <w:p>
            <w:pPr>
              <w:pStyle w:val="2"/>
              <w:jc w:val="left"/>
              <w:rPr>
                <w:rFonts w:hint="eastAsia" w:eastAsia="宋体"/>
                <w:kern w:val="0"/>
                <w:sz w:val="18"/>
                <w:szCs w:val="18"/>
                <w:lang w:eastAsia="zh-CN"/>
              </w:rPr>
            </w:pPr>
            <w:r>
              <w:rPr>
                <w:kern w:val="0"/>
                <w:sz w:val="18"/>
                <w:szCs w:val="18"/>
              </w:rPr>
              <w:t>2.</w:t>
            </w:r>
            <w:r>
              <w:rPr>
                <w:rFonts w:hint="eastAsia"/>
                <w:kern w:val="0"/>
                <w:sz w:val="18"/>
                <w:szCs w:val="18"/>
              </w:rPr>
              <w:t>培养学生精益求精的“工匠精神”</w:t>
            </w:r>
            <w:r>
              <w:rPr>
                <w:rFonts w:hint="eastAsia"/>
                <w:kern w:val="0"/>
                <w:sz w:val="18"/>
                <w:szCs w:val="18"/>
                <w:lang w:eastAsia="zh-CN"/>
              </w:rPr>
              <w:t>；</w:t>
            </w:r>
          </w:p>
          <w:p>
            <w:pPr>
              <w:pStyle w:val="2"/>
              <w:jc w:val="left"/>
              <w:rPr>
                <w:kern w:val="0"/>
                <w:sz w:val="18"/>
                <w:szCs w:val="18"/>
              </w:rPr>
            </w:pPr>
            <w:r>
              <w:rPr>
                <w:kern w:val="0"/>
                <w:sz w:val="18"/>
                <w:szCs w:val="18"/>
              </w:rPr>
              <w:t>3.</w:t>
            </w:r>
            <w:r>
              <w:rPr>
                <w:rFonts w:hint="eastAsia"/>
                <w:kern w:val="0"/>
                <w:sz w:val="18"/>
                <w:szCs w:val="18"/>
              </w:rPr>
              <w:t>通过运费的计算，树立学生的诚信理念。</w:t>
            </w:r>
          </w:p>
        </w:tc>
        <w:tc>
          <w:tcPr>
            <w:tcW w:w="992" w:type="dxa"/>
            <w:vAlign w:val="center"/>
          </w:tcPr>
          <w:p>
            <w:pPr>
              <w:pStyle w:val="2"/>
              <w:jc w:val="center"/>
              <w:rPr>
                <w:kern w:val="0"/>
                <w:sz w:val="18"/>
                <w:szCs w:val="18"/>
              </w:rPr>
            </w:pPr>
            <w:r>
              <w:rPr>
                <w:rFonts w:hint="eastAsia" w:ascii="宋体" w:hAnsi="宋体"/>
                <w:sz w:val="20"/>
                <w:szCs w:val="20"/>
              </w:rPr>
              <w:t>4</w:t>
            </w:r>
            <w:r>
              <w:rPr>
                <w:rFonts w:ascii="宋体" w:hAnsi="宋体"/>
                <w:sz w:val="20"/>
                <w:szCs w:val="20"/>
              </w:rPr>
              <w:t>/64</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673" w:type="dxa"/>
            <w:shd w:val="clear" w:color="auto" w:fill="auto"/>
            <w:vAlign w:val="center"/>
          </w:tcPr>
          <w:p>
            <w:pPr>
              <w:pStyle w:val="2"/>
              <w:jc w:val="center"/>
              <w:rPr>
                <w:kern w:val="0"/>
                <w:sz w:val="18"/>
                <w:szCs w:val="18"/>
              </w:rPr>
            </w:pPr>
            <w:r>
              <w:rPr>
                <w:kern w:val="0"/>
                <w:sz w:val="18"/>
                <w:szCs w:val="18"/>
              </w:rPr>
              <w:t>4</w:t>
            </w:r>
          </w:p>
        </w:tc>
        <w:tc>
          <w:tcPr>
            <w:tcW w:w="1009" w:type="dxa"/>
            <w:shd w:val="clear" w:color="auto" w:fill="auto"/>
            <w:vAlign w:val="center"/>
          </w:tcPr>
          <w:p>
            <w:pPr>
              <w:pStyle w:val="2"/>
              <w:jc w:val="center"/>
              <w:rPr>
                <w:kern w:val="0"/>
                <w:sz w:val="18"/>
                <w:szCs w:val="18"/>
              </w:rPr>
            </w:pPr>
            <w:r>
              <w:rPr>
                <w:rFonts w:hint="eastAsia"/>
                <w:kern w:val="0"/>
                <w:sz w:val="18"/>
                <w:szCs w:val="18"/>
              </w:rPr>
              <w:t>物流信息管理</w:t>
            </w:r>
          </w:p>
        </w:tc>
        <w:tc>
          <w:tcPr>
            <w:tcW w:w="1771" w:type="dxa"/>
            <w:shd w:val="clear" w:color="auto" w:fill="auto"/>
            <w:vAlign w:val="center"/>
          </w:tcPr>
          <w:p>
            <w:pPr>
              <w:pStyle w:val="2"/>
              <w:jc w:val="left"/>
              <w:rPr>
                <w:kern w:val="0"/>
                <w:sz w:val="18"/>
                <w:szCs w:val="18"/>
              </w:rPr>
            </w:pPr>
            <w:r>
              <w:rPr>
                <w:kern w:val="0"/>
                <w:sz w:val="18"/>
                <w:szCs w:val="18"/>
              </w:rPr>
              <w:t>4-1</w:t>
            </w:r>
            <w:r>
              <w:rPr>
                <w:rFonts w:hint="eastAsia"/>
                <w:kern w:val="0"/>
                <w:sz w:val="18"/>
                <w:szCs w:val="18"/>
              </w:rPr>
              <w:t>认知信息与物流信息</w:t>
            </w:r>
          </w:p>
          <w:p>
            <w:pPr>
              <w:pStyle w:val="2"/>
              <w:jc w:val="left"/>
              <w:rPr>
                <w:kern w:val="0"/>
                <w:sz w:val="18"/>
                <w:szCs w:val="18"/>
              </w:rPr>
            </w:pPr>
            <w:r>
              <w:rPr>
                <w:kern w:val="0"/>
                <w:sz w:val="18"/>
                <w:szCs w:val="18"/>
              </w:rPr>
              <w:t>4-</w:t>
            </w:r>
            <w:r>
              <w:rPr>
                <w:rFonts w:hint="eastAsia"/>
                <w:kern w:val="0"/>
                <w:sz w:val="18"/>
                <w:szCs w:val="18"/>
              </w:rPr>
              <w:t>2认知物流信息技术</w:t>
            </w:r>
            <w:r>
              <w:rPr>
                <w:kern w:val="0"/>
                <w:sz w:val="18"/>
                <w:szCs w:val="18"/>
              </w:rPr>
              <w:t>4-</w:t>
            </w:r>
            <w:r>
              <w:rPr>
                <w:rFonts w:hint="eastAsia"/>
                <w:kern w:val="0"/>
                <w:sz w:val="18"/>
                <w:szCs w:val="18"/>
              </w:rPr>
              <w:t>3条码技术与应用</w:t>
            </w:r>
          </w:p>
          <w:p>
            <w:pPr>
              <w:pStyle w:val="2"/>
              <w:jc w:val="left"/>
              <w:rPr>
                <w:kern w:val="0"/>
                <w:sz w:val="18"/>
                <w:szCs w:val="18"/>
              </w:rPr>
            </w:pPr>
            <w:r>
              <w:rPr>
                <w:kern w:val="0"/>
                <w:sz w:val="18"/>
                <w:szCs w:val="18"/>
              </w:rPr>
              <w:t>4-</w:t>
            </w:r>
            <w:r>
              <w:rPr>
                <w:rFonts w:hint="eastAsia"/>
                <w:kern w:val="0"/>
                <w:sz w:val="18"/>
                <w:szCs w:val="18"/>
              </w:rPr>
              <w:t>4射频技术与应用</w:t>
            </w:r>
            <w:r>
              <w:rPr>
                <w:kern w:val="0"/>
                <w:sz w:val="18"/>
                <w:szCs w:val="18"/>
              </w:rPr>
              <w:t>4-</w:t>
            </w:r>
            <w:r>
              <w:rPr>
                <w:rFonts w:hint="eastAsia"/>
                <w:kern w:val="0"/>
                <w:sz w:val="18"/>
                <w:szCs w:val="18"/>
              </w:rPr>
              <w:t>5GIS技术与应用</w:t>
            </w:r>
            <w:r>
              <w:rPr>
                <w:kern w:val="0"/>
                <w:sz w:val="18"/>
                <w:szCs w:val="18"/>
              </w:rPr>
              <w:t>4-</w:t>
            </w:r>
            <w:r>
              <w:rPr>
                <w:rFonts w:hint="eastAsia"/>
                <w:kern w:val="0"/>
                <w:sz w:val="18"/>
                <w:szCs w:val="18"/>
              </w:rPr>
              <w:t>6GPS技术与应用</w:t>
            </w:r>
            <w:r>
              <w:rPr>
                <w:kern w:val="0"/>
                <w:sz w:val="18"/>
                <w:szCs w:val="18"/>
              </w:rPr>
              <w:t>4-</w:t>
            </w:r>
            <w:r>
              <w:rPr>
                <w:rFonts w:hint="eastAsia"/>
                <w:kern w:val="0"/>
                <w:sz w:val="18"/>
                <w:szCs w:val="18"/>
              </w:rPr>
              <w:t>7EDI技术与应用</w:t>
            </w:r>
            <w:r>
              <w:rPr>
                <w:kern w:val="0"/>
                <w:sz w:val="18"/>
                <w:szCs w:val="18"/>
              </w:rPr>
              <w:t>4-</w:t>
            </w:r>
            <w:r>
              <w:rPr>
                <w:rFonts w:hint="eastAsia"/>
                <w:kern w:val="0"/>
                <w:sz w:val="18"/>
                <w:szCs w:val="18"/>
              </w:rPr>
              <w:t>8POS系统操作</w:t>
            </w:r>
          </w:p>
        </w:tc>
        <w:tc>
          <w:tcPr>
            <w:tcW w:w="2693" w:type="dxa"/>
            <w:shd w:val="clear" w:color="auto" w:fill="auto"/>
            <w:vAlign w:val="center"/>
          </w:tcPr>
          <w:p>
            <w:pPr>
              <w:pStyle w:val="2"/>
              <w:jc w:val="left"/>
              <w:rPr>
                <w:kern w:val="0"/>
                <w:sz w:val="18"/>
                <w:szCs w:val="18"/>
              </w:rPr>
            </w:pPr>
            <w:r>
              <w:rPr>
                <w:rFonts w:hint="eastAsia"/>
                <w:kern w:val="0"/>
                <w:sz w:val="18"/>
                <w:szCs w:val="18"/>
              </w:rPr>
              <w:t>主要内容：数据与信息的概念和特征；物流信息的特点，Barcode、RF、EDI、GPS和GIS等物流信息技术的工作原理；物流信息系统的构成和应用等。</w:t>
            </w:r>
          </w:p>
          <w:p>
            <w:pPr>
              <w:pStyle w:val="2"/>
              <w:jc w:val="left"/>
              <w:rPr>
                <w:kern w:val="0"/>
                <w:sz w:val="18"/>
                <w:szCs w:val="18"/>
              </w:rPr>
            </w:pPr>
            <w:r>
              <w:rPr>
                <w:rFonts w:hint="eastAsia"/>
                <w:kern w:val="0"/>
                <w:sz w:val="18"/>
                <w:szCs w:val="18"/>
              </w:rPr>
              <w:t>教学要求：能够根据条码知识建立商品条码库和条码标签的设计；能够根据企业的配送中心管理实际运作情况，进行简单的配送中心信息系统需求的分析。</w:t>
            </w:r>
          </w:p>
        </w:tc>
        <w:tc>
          <w:tcPr>
            <w:tcW w:w="2127" w:type="dxa"/>
            <w:shd w:val="clear" w:color="auto" w:fill="auto"/>
            <w:vAlign w:val="center"/>
          </w:tcPr>
          <w:p>
            <w:pPr>
              <w:pStyle w:val="2"/>
              <w:jc w:val="left"/>
              <w:rPr>
                <w:kern w:val="0"/>
                <w:sz w:val="18"/>
                <w:szCs w:val="18"/>
              </w:rPr>
            </w:pPr>
            <w:r>
              <w:rPr>
                <w:rFonts w:hint="eastAsia"/>
                <w:kern w:val="0"/>
                <w:sz w:val="18"/>
                <w:szCs w:val="18"/>
              </w:rPr>
              <w:t>1.厚植爱国主义情怀、增强民族自豪感；</w:t>
            </w:r>
          </w:p>
          <w:p>
            <w:pPr>
              <w:pStyle w:val="2"/>
              <w:jc w:val="left"/>
              <w:rPr>
                <w:kern w:val="0"/>
                <w:sz w:val="18"/>
                <w:szCs w:val="18"/>
              </w:rPr>
            </w:pPr>
            <w:r>
              <w:rPr>
                <w:rFonts w:hint="eastAsia"/>
                <w:kern w:val="0"/>
                <w:sz w:val="18"/>
                <w:szCs w:val="18"/>
              </w:rPr>
              <w:t>2.具备爱岗敬业、精益求精的精神；</w:t>
            </w:r>
          </w:p>
          <w:p>
            <w:pPr>
              <w:pStyle w:val="2"/>
              <w:jc w:val="left"/>
              <w:rPr>
                <w:kern w:val="0"/>
                <w:sz w:val="18"/>
                <w:szCs w:val="18"/>
              </w:rPr>
            </w:pPr>
            <w:r>
              <w:rPr>
                <w:rFonts w:hint="eastAsia"/>
                <w:kern w:val="0"/>
                <w:sz w:val="18"/>
                <w:szCs w:val="18"/>
              </w:rPr>
              <w:t>3.树立学生的文化自信和职业自豪感及认同感；</w:t>
            </w:r>
          </w:p>
          <w:p>
            <w:pPr>
              <w:pStyle w:val="2"/>
              <w:jc w:val="left"/>
              <w:rPr>
                <w:kern w:val="0"/>
                <w:sz w:val="18"/>
                <w:szCs w:val="18"/>
              </w:rPr>
            </w:pPr>
            <w:r>
              <w:rPr>
                <w:rFonts w:hint="eastAsia"/>
                <w:kern w:val="0"/>
                <w:sz w:val="18"/>
                <w:szCs w:val="18"/>
              </w:rPr>
              <w:t>4.培养学生创新创业意识；</w:t>
            </w:r>
          </w:p>
          <w:p>
            <w:pPr>
              <w:pStyle w:val="2"/>
              <w:jc w:val="left"/>
              <w:rPr>
                <w:kern w:val="0"/>
                <w:sz w:val="18"/>
                <w:szCs w:val="18"/>
              </w:rPr>
            </w:pPr>
            <w:r>
              <w:rPr>
                <w:rFonts w:hint="eastAsia"/>
                <w:kern w:val="0"/>
                <w:sz w:val="18"/>
                <w:szCs w:val="18"/>
              </w:rPr>
              <w:t>5.树立成本意识、创新、友善、团队协作精神，吃苦耐劳的品质，做到爱岗敬业。</w:t>
            </w:r>
          </w:p>
        </w:tc>
        <w:tc>
          <w:tcPr>
            <w:tcW w:w="992" w:type="dxa"/>
            <w:vAlign w:val="center"/>
          </w:tcPr>
          <w:p>
            <w:pPr>
              <w:pStyle w:val="2"/>
              <w:jc w:val="center"/>
              <w:rPr>
                <w:rFonts w:ascii="宋体" w:hAnsi="宋体"/>
                <w:sz w:val="20"/>
                <w:szCs w:val="20"/>
              </w:rPr>
            </w:pPr>
            <w:r>
              <w:rPr>
                <w:rFonts w:hint="eastAsia" w:ascii="宋体" w:hAnsi="宋体"/>
                <w:sz w:val="20"/>
                <w:szCs w:val="20"/>
              </w:rPr>
              <w:t>4</w:t>
            </w:r>
            <w:r>
              <w:rPr>
                <w:rFonts w:ascii="宋体" w:hAnsi="宋体"/>
                <w:sz w:val="20"/>
                <w:szCs w:val="20"/>
              </w:rPr>
              <w:t>/64</w:t>
            </w:r>
          </w:p>
        </w:tc>
      </w:tr>
    </w:tbl>
    <w:p>
      <w:pPr>
        <w:spacing w:line="400" w:lineRule="exact"/>
        <w:ind w:firstLine="422" w:firstLineChars="200"/>
        <w:jc w:val="left"/>
        <w:rPr>
          <w:b/>
          <w:bCs/>
          <w:color w:val="000000"/>
          <w:kern w:val="0"/>
          <w:szCs w:val="21"/>
        </w:rPr>
      </w:pPr>
      <w:r>
        <w:rPr>
          <w:b/>
          <w:bCs/>
          <w:color w:val="000000"/>
          <w:kern w:val="0"/>
          <w:szCs w:val="21"/>
        </w:rPr>
        <w:t>（四）综合实践课</w:t>
      </w:r>
    </w:p>
    <w:p>
      <w:pPr>
        <w:pStyle w:val="2"/>
        <w:jc w:val="center"/>
        <w:rPr>
          <w:rFonts w:eastAsia="仿宋"/>
          <w:i/>
          <w:iCs/>
          <w:color w:val="0000FF"/>
          <w:kern w:val="0"/>
          <w:sz w:val="18"/>
          <w:szCs w:val="18"/>
        </w:rPr>
      </w:pPr>
      <w:r>
        <w:rPr>
          <w:b/>
          <w:bCs/>
          <w:color w:val="000000"/>
          <w:sz w:val="18"/>
          <w:szCs w:val="18"/>
        </w:rPr>
        <w:t>表9综合实践课程主要教学内容与要求</w:t>
      </w:r>
    </w:p>
    <w:tbl>
      <w:tblPr>
        <w:tblStyle w:val="13"/>
        <w:tblW w:w="0" w:type="auto"/>
        <w:tblInd w:w="-318" w:type="dxa"/>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autofit"/>
        <w:tblCellMar>
          <w:top w:w="0" w:type="dxa"/>
          <w:left w:w="108" w:type="dxa"/>
          <w:bottom w:w="0" w:type="dxa"/>
          <w:right w:w="108" w:type="dxa"/>
        </w:tblCellMar>
      </w:tblPr>
      <w:tblGrid>
        <w:gridCol w:w="1135"/>
        <w:gridCol w:w="709"/>
        <w:gridCol w:w="850"/>
        <w:gridCol w:w="6146"/>
      </w:tblGrid>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1135" w:type="dxa"/>
            <w:shd w:val="clear" w:color="auto" w:fill="F1F1F1" w:themeFill="background1" w:themeFillShade="F2"/>
          </w:tcPr>
          <w:p>
            <w:pPr>
              <w:pStyle w:val="2"/>
              <w:jc w:val="center"/>
              <w:rPr>
                <w:kern w:val="0"/>
                <w:sz w:val="18"/>
                <w:szCs w:val="18"/>
              </w:rPr>
            </w:pPr>
            <w:r>
              <w:rPr>
                <w:kern w:val="0"/>
                <w:sz w:val="18"/>
                <w:szCs w:val="18"/>
              </w:rPr>
              <w:t>实践环节</w:t>
            </w:r>
          </w:p>
        </w:tc>
        <w:tc>
          <w:tcPr>
            <w:tcW w:w="709" w:type="dxa"/>
            <w:shd w:val="clear" w:color="auto" w:fill="F1F1F1" w:themeFill="background1" w:themeFillShade="F2"/>
          </w:tcPr>
          <w:p>
            <w:pPr>
              <w:pStyle w:val="2"/>
              <w:jc w:val="center"/>
              <w:rPr>
                <w:kern w:val="0"/>
                <w:sz w:val="18"/>
                <w:szCs w:val="18"/>
              </w:rPr>
            </w:pPr>
            <w:r>
              <w:rPr>
                <w:kern w:val="0"/>
                <w:sz w:val="18"/>
                <w:szCs w:val="18"/>
              </w:rPr>
              <w:t>学期</w:t>
            </w:r>
          </w:p>
        </w:tc>
        <w:tc>
          <w:tcPr>
            <w:tcW w:w="850" w:type="dxa"/>
            <w:shd w:val="clear" w:color="auto" w:fill="F1F1F1" w:themeFill="background1" w:themeFillShade="F2"/>
          </w:tcPr>
          <w:p>
            <w:pPr>
              <w:pStyle w:val="2"/>
              <w:jc w:val="center"/>
              <w:rPr>
                <w:kern w:val="0"/>
                <w:sz w:val="18"/>
                <w:szCs w:val="18"/>
              </w:rPr>
            </w:pPr>
            <w:r>
              <w:rPr>
                <w:kern w:val="0"/>
                <w:sz w:val="18"/>
                <w:szCs w:val="18"/>
              </w:rPr>
              <w:t>周数</w:t>
            </w:r>
          </w:p>
        </w:tc>
        <w:tc>
          <w:tcPr>
            <w:tcW w:w="6146" w:type="dxa"/>
            <w:shd w:val="clear" w:color="auto" w:fill="F1F1F1" w:themeFill="background1" w:themeFillShade="F2"/>
          </w:tcPr>
          <w:p>
            <w:pPr>
              <w:pStyle w:val="2"/>
              <w:jc w:val="center"/>
              <w:rPr>
                <w:kern w:val="0"/>
                <w:sz w:val="18"/>
                <w:szCs w:val="18"/>
              </w:rPr>
            </w:pPr>
            <w:r>
              <w:rPr>
                <w:kern w:val="0"/>
                <w:sz w:val="18"/>
                <w:szCs w:val="18"/>
              </w:rPr>
              <w:t>主要内容及要求</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1135" w:type="dxa"/>
            <w:shd w:val="clear" w:color="auto" w:fill="auto"/>
            <w:vAlign w:val="center"/>
          </w:tcPr>
          <w:p>
            <w:pPr>
              <w:pStyle w:val="2"/>
              <w:jc w:val="center"/>
              <w:rPr>
                <w:kern w:val="0"/>
                <w:sz w:val="18"/>
                <w:szCs w:val="18"/>
              </w:rPr>
            </w:pPr>
            <w:r>
              <w:rPr>
                <w:rFonts w:hint="eastAsia"/>
                <w:kern w:val="0"/>
                <w:sz w:val="18"/>
                <w:szCs w:val="18"/>
              </w:rPr>
              <w:t>专业认知实训</w:t>
            </w:r>
          </w:p>
        </w:tc>
        <w:tc>
          <w:tcPr>
            <w:tcW w:w="709" w:type="dxa"/>
            <w:shd w:val="clear" w:color="auto" w:fill="auto"/>
            <w:vAlign w:val="center"/>
          </w:tcPr>
          <w:p>
            <w:pPr>
              <w:pStyle w:val="2"/>
              <w:jc w:val="center"/>
              <w:rPr>
                <w:kern w:val="0"/>
                <w:sz w:val="18"/>
                <w:szCs w:val="18"/>
              </w:rPr>
            </w:pPr>
            <w:r>
              <w:rPr>
                <w:kern w:val="0"/>
                <w:sz w:val="18"/>
                <w:szCs w:val="18"/>
              </w:rPr>
              <w:t>1</w:t>
            </w:r>
          </w:p>
        </w:tc>
        <w:tc>
          <w:tcPr>
            <w:tcW w:w="850" w:type="dxa"/>
            <w:shd w:val="clear" w:color="auto" w:fill="auto"/>
            <w:vAlign w:val="center"/>
          </w:tcPr>
          <w:p>
            <w:pPr>
              <w:pStyle w:val="2"/>
              <w:jc w:val="center"/>
              <w:rPr>
                <w:kern w:val="0"/>
                <w:sz w:val="18"/>
                <w:szCs w:val="18"/>
              </w:rPr>
            </w:pPr>
            <w:r>
              <w:rPr>
                <w:kern w:val="0"/>
                <w:sz w:val="18"/>
                <w:szCs w:val="18"/>
              </w:rPr>
              <w:t>1</w:t>
            </w:r>
          </w:p>
        </w:tc>
        <w:tc>
          <w:tcPr>
            <w:tcW w:w="6146" w:type="dxa"/>
            <w:shd w:val="clear" w:color="auto" w:fill="auto"/>
          </w:tcPr>
          <w:p>
            <w:pPr>
              <w:pStyle w:val="2"/>
              <w:keepNext w:val="0"/>
              <w:keepLines w:val="0"/>
              <w:pageBreakBefore w:val="0"/>
              <w:widowControl w:val="0"/>
              <w:numPr>
                <w:ilvl w:val="0"/>
                <w:numId w:val="7"/>
              </w:numPr>
              <w:kinsoku/>
              <w:wordWrap/>
              <w:overflowPunct/>
              <w:topLinePunct w:val="0"/>
              <w:autoSpaceDE/>
              <w:autoSpaceDN/>
              <w:bidi w:val="0"/>
              <w:adjustRightInd/>
              <w:snapToGrid/>
              <w:ind w:left="283" w:hanging="283"/>
              <w:jc w:val="left"/>
              <w:textAlignment w:val="auto"/>
              <w:rPr>
                <w:kern w:val="0"/>
                <w:sz w:val="18"/>
                <w:szCs w:val="18"/>
              </w:rPr>
            </w:pPr>
            <w:r>
              <w:rPr>
                <w:rFonts w:hint="eastAsia"/>
                <w:kern w:val="0"/>
                <w:sz w:val="18"/>
                <w:szCs w:val="18"/>
              </w:rPr>
              <w:t>初步培养学生对物流的基本认识；</w:t>
            </w:r>
          </w:p>
          <w:p>
            <w:pPr>
              <w:pStyle w:val="2"/>
              <w:keepNext w:val="0"/>
              <w:keepLines w:val="0"/>
              <w:pageBreakBefore w:val="0"/>
              <w:widowControl w:val="0"/>
              <w:numPr>
                <w:ilvl w:val="0"/>
                <w:numId w:val="7"/>
              </w:numPr>
              <w:kinsoku/>
              <w:wordWrap/>
              <w:overflowPunct/>
              <w:topLinePunct w:val="0"/>
              <w:autoSpaceDE/>
              <w:autoSpaceDN/>
              <w:bidi w:val="0"/>
              <w:adjustRightInd/>
              <w:snapToGrid/>
              <w:ind w:left="283" w:hanging="283"/>
              <w:jc w:val="left"/>
              <w:textAlignment w:val="auto"/>
              <w:rPr>
                <w:kern w:val="0"/>
                <w:sz w:val="18"/>
                <w:szCs w:val="18"/>
              </w:rPr>
            </w:pPr>
            <w:r>
              <w:rPr>
                <w:rFonts w:hint="eastAsia"/>
                <w:kern w:val="0"/>
                <w:sz w:val="18"/>
                <w:szCs w:val="18"/>
              </w:rPr>
              <w:t>培养学生认识物流企业；</w:t>
            </w:r>
          </w:p>
          <w:p>
            <w:pPr>
              <w:pStyle w:val="2"/>
              <w:keepNext w:val="0"/>
              <w:keepLines w:val="0"/>
              <w:pageBreakBefore w:val="0"/>
              <w:widowControl w:val="0"/>
              <w:numPr>
                <w:ilvl w:val="0"/>
                <w:numId w:val="7"/>
              </w:numPr>
              <w:kinsoku/>
              <w:wordWrap/>
              <w:overflowPunct/>
              <w:topLinePunct w:val="0"/>
              <w:autoSpaceDE/>
              <w:autoSpaceDN/>
              <w:bidi w:val="0"/>
              <w:adjustRightInd/>
              <w:snapToGrid/>
              <w:ind w:left="283" w:hanging="283"/>
              <w:jc w:val="left"/>
              <w:textAlignment w:val="auto"/>
              <w:rPr>
                <w:kern w:val="0"/>
                <w:sz w:val="18"/>
                <w:szCs w:val="18"/>
              </w:rPr>
            </w:pPr>
            <w:r>
              <w:rPr>
                <w:rFonts w:hint="eastAsia"/>
                <w:kern w:val="0"/>
                <w:sz w:val="18"/>
                <w:szCs w:val="18"/>
              </w:rPr>
              <w:t>培养学生认识物流岗位。</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1135" w:type="dxa"/>
            <w:shd w:val="clear" w:color="auto" w:fill="auto"/>
            <w:vAlign w:val="center"/>
          </w:tcPr>
          <w:p>
            <w:pPr>
              <w:jc w:val="center"/>
              <w:rPr>
                <w:rFonts w:ascii="宋体" w:hAnsi="宋体" w:cs="宋体"/>
                <w:sz w:val="18"/>
                <w:szCs w:val="18"/>
              </w:rPr>
            </w:pPr>
            <w:r>
              <w:rPr>
                <w:rFonts w:hint="eastAsia" w:ascii="宋体" w:hAnsi="宋体" w:cs="宋体"/>
                <w:sz w:val="18"/>
                <w:szCs w:val="18"/>
              </w:rPr>
              <w:t>企业经营沙盘对抗</w:t>
            </w:r>
          </w:p>
        </w:tc>
        <w:tc>
          <w:tcPr>
            <w:tcW w:w="709" w:type="dxa"/>
            <w:shd w:val="clear" w:color="auto" w:fill="auto"/>
            <w:vAlign w:val="center"/>
          </w:tcPr>
          <w:p>
            <w:pPr>
              <w:jc w:val="center"/>
              <w:rPr>
                <w:rFonts w:ascii="宋体" w:hAnsi="宋体" w:cs="宋体"/>
                <w:sz w:val="18"/>
                <w:szCs w:val="18"/>
              </w:rPr>
            </w:pPr>
            <w:r>
              <w:rPr>
                <w:rFonts w:ascii="宋体" w:hAnsi="宋体" w:cs="宋体"/>
                <w:sz w:val="18"/>
                <w:szCs w:val="18"/>
              </w:rPr>
              <w:t>1</w:t>
            </w:r>
          </w:p>
        </w:tc>
        <w:tc>
          <w:tcPr>
            <w:tcW w:w="850" w:type="dxa"/>
            <w:shd w:val="clear" w:color="auto" w:fill="auto"/>
            <w:vAlign w:val="center"/>
          </w:tcPr>
          <w:p>
            <w:pPr>
              <w:jc w:val="center"/>
              <w:rPr>
                <w:rFonts w:ascii="宋体" w:hAnsi="宋体" w:cs="宋体"/>
                <w:sz w:val="18"/>
                <w:szCs w:val="18"/>
              </w:rPr>
            </w:pPr>
            <w:r>
              <w:rPr>
                <w:rFonts w:ascii="宋体" w:hAnsi="宋体" w:cs="宋体"/>
                <w:sz w:val="18"/>
                <w:szCs w:val="18"/>
              </w:rPr>
              <w:t>1</w:t>
            </w:r>
          </w:p>
        </w:tc>
        <w:tc>
          <w:tcPr>
            <w:tcW w:w="6146" w:type="dxa"/>
            <w:shd w:val="clear" w:color="auto" w:fill="auto"/>
            <w:vAlign w:val="center"/>
          </w:tcPr>
          <w:p>
            <w:pPr>
              <w:pStyle w:val="17"/>
              <w:keepNext w:val="0"/>
              <w:keepLines w:val="0"/>
              <w:pageBreakBefore w:val="0"/>
              <w:widowControl w:val="0"/>
              <w:numPr>
                <w:ilvl w:val="0"/>
                <w:numId w:val="8"/>
              </w:numPr>
              <w:kinsoku/>
              <w:wordWrap/>
              <w:overflowPunct/>
              <w:topLinePunct w:val="0"/>
              <w:autoSpaceDE/>
              <w:autoSpaceDN/>
              <w:bidi w:val="0"/>
              <w:adjustRightInd/>
              <w:snapToGrid/>
              <w:spacing w:line="360" w:lineRule="exact"/>
              <w:ind w:left="283" w:hanging="283" w:firstLineChars="0"/>
              <w:jc w:val="left"/>
              <w:textAlignment w:val="auto"/>
              <w:rPr>
                <w:rFonts w:ascii="宋体" w:hAnsi="宋体" w:cs="宋体"/>
                <w:sz w:val="18"/>
                <w:szCs w:val="18"/>
              </w:rPr>
            </w:pPr>
            <w:r>
              <w:rPr>
                <w:rFonts w:hint="eastAsia" w:ascii="宋体" w:hAnsi="宋体" w:cs="宋体"/>
                <w:sz w:val="18"/>
                <w:szCs w:val="18"/>
              </w:rPr>
              <w:t>掌握企业经营过程中的一些常规术语，如：流动资产、固定资产、负债、所有者权益、折旧、贷款额度、采购价格、利润留存等；</w:t>
            </w:r>
          </w:p>
          <w:p>
            <w:pPr>
              <w:pStyle w:val="17"/>
              <w:keepNext w:val="0"/>
              <w:keepLines w:val="0"/>
              <w:pageBreakBefore w:val="0"/>
              <w:widowControl w:val="0"/>
              <w:numPr>
                <w:ilvl w:val="0"/>
                <w:numId w:val="8"/>
              </w:numPr>
              <w:kinsoku/>
              <w:wordWrap/>
              <w:overflowPunct/>
              <w:topLinePunct w:val="0"/>
              <w:autoSpaceDE/>
              <w:autoSpaceDN/>
              <w:bidi w:val="0"/>
              <w:adjustRightInd/>
              <w:snapToGrid/>
              <w:spacing w:line="360" w:lineRule="exact"/>
              <w:ind w:left="283" w:hanging="283" w:firstLineChars="0"/>
              <w:jc w:val="left"/>
              <w:textAlignment w:val="auto"/>
              <w:rPr>
                <w:rFonts w:ascii="宋体" w:hAnsi="宋体" w:cs="宋体"/>
                <w:sz w:val="18"/>
                <w:szCs w:val="18"/>
              </w:rPr>
            </w:pPr>
            <w:r>
              <w:rPr>
                <w:rFonts w:hint="eastAsia" w:ascii="宋体" w:hAnsi="宋体" w:cs="宋体"/>
                <w:sz w:val="18"/>
                <w:szCs w:val="18"/>
              </w:rPr>
              <w:t>掌握制造企业经营的运营规则，了解一个制造企业的企业战略、销售、财务管理、生产制造、仓储管理等方面的知识与技能；</w:t>
            </w:r>
          </w:p>
          <w:p>
            <w:pPr>
              <w:pStyle w:val="17"/>
              <w:keepNext w:val="0"/>
              <w:keepLines w:val="0"/>
              <w:pageBreakBefore w:val="0"/>
              <w:widowControl w:val="0"/>
              <w:numPr>
                <w:ilvl w:val="0"/>
                <w:numId w:val="8"/>
              </w:numPr>
              <w:kinsoku/>
              <w:wordWrap/>
              <w:overflowPunct/>
              <w:topLinePunct w:val="0"/>
              <w:autoSpaceDE/>
              <w:autoSpaceDN/>
              <w:bidi w:val="0"/>
              <w:adjustRightInd/>
              <w:snapToGrid/>
              <w:spacing w:line="360" w:lineRule="exact"/>
              <w:ind w:left="283" w:hanging="283" w:firstLineChars="0"/>
              <w:jc w:val="left"/>
              <w:textAlignment w:val="auto"/>
              <w:rPr>
                <w:rFonts w:ascii="宋体" w:hAnsi="宋体" w:cs="宋体"/>
                <w:sz w:val="18"/>
                <w:szCs w:val="18"/>
              </w:rPr>
            </w:pPr>
            <w:r>
              <w:rPr>
                <w:rFonts w:hint="eastAsia" w:ascii="宋体" w:hAnsi="宋体" w:cs="宋体"/>
                <w:sz w:val="18"/>
                <w:szCs w:val="18"/>
              </w:rPr>
              <w:t>能够完成6年的生产制造企业经营实战演练，合理地进行预测和决策。</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1135" w:type="dxa"/>
            <w:shd w:val="clear" w:color="auto" w:fill="auto"/>
            <w:vAlign w:val="center"/>
          </w:tcPr>
          <w:p>
            <w:pPr>
              <w:jc w:val="center"/>
              <w:rPr>
                <w:rFonts w:ascii="宋体" w:hAnsi="宋体" w:cs="宋体"/>
                <w:sz w:val="18"/>
                <w:szCs w:val="18"/>
              </w:rPr>
            </w:pPr>
            <w:r>
              <w:rPr>
                <w:rFonts w:hint="eastAsia" w:ascii="宋体" w:hAnsi="宋体" w:cs="宋体"/>
                <w:sz w:val="18"/>
                <w:szCs w:val="18"/>
              </w:rPr>
              <w:t>物流运营实训</w:t>
            </w:r>
          </w:p>
        </w:tc>
        <w:tc>
          <w:tcPr>
            <w:tcW w:w="709" w:type="dxa"/>
            <w:shd w:val="clear" w:color="auto" w:fill="auto"/>
            <w:vAlign w:val="center"/>
          </w:tcPr>
          <w:p>
            <w:pPr>
              <w:jc w:val="center"/>
              <w:rPr>
                <w:rFonts w:ascii="宋体" w:hAnsi="宋体" w:cs="宋体"/>
                <w:sz w:val="18"/>
                <w:szCs w:val="18"/>
              </w:rPr>
            </w:pPr>
            <w:r>
              <w:rPr>
                <w:rFonts w:ascii="宋体" w:hAnsi="宋体" w:cs="宋体"/>
                <w:sz w:val="18"/>
                <w:szCs w:val="18"/>
              </w:rPr>
              <w:t>2</w:t>
            </w:r>
          </w:p>
        </w:tc>
        <w:tc>
          <w:tcPr>
            <w:tcW w:w="850" w:type="dxa"/>
            <w:shd w:val="clear" w:color="auto" w:fill="auto"/>
            <w:vAlign w:val="center"/>
          </w:tcPr>
          <w:p>
            <w:pPr>
              <w:jc w:val="center"/>
              <w:rPr>
                <w:rFonts w:ascii="宋体" w:hAnsi="宋体" w:cs="宋体"/>
                <w:sz w:val="18"/>
                <w:szCs w:val="18"/>
              </w:rPr>
            </w:pPr>
            <w:r>
              <w:rPr>
                <w:rFonts w:hint="eastAsia" w:ascii="宋体" w:hAnsi="宋体" w:cs="宋体"/>
                <w:sz w:val="18"/>
                <w:szCs w:val="18"/>
              </w:rPr>
              <w:t>2</w:t>
            </w:r>
          </w:p>
        </w:tc>
        <w:tc>
          <w:tcPr>
            <w:tcW w:w="6146" w:type="dxa"/>
            <w:shd w:val="clear" w:color="auto" w:fill="auto"/>
            <w:vAlign w:val="center"/>
          </w:tcPr>
          <w:p>
            <w:pPr>
              <w:pStyle w:val="17"/>
              <w:keepNext w:val="0"/>
              <w:keepLines w:val="0"/>
              <w:pageBreakBefore w:val="0"/>
              <w:widowControl w:val="0"/>
              <w:numPr>
                <w:ilvl w:val="0"/>
                <w:numId w:val="9"/>
              </w:numPr>
              <w:kinsoku/>
              <w:wordWrap/>
              <w:overflowPunct/>
              <w:topLinePunct w:val="0"/>
              <w:autoSpaceDE/>
              <w:autoSpaceDN/>
              <w:bidi w:val="0"/>
              <w:adjustRightInd/>
              <w:snapToGrid/>
              <w:spacing w:line="360" w:lineRule="exact"/>
              <w:ind w:left="283" w:hanging="283" w:firstLineChars="0"/>
              <w:jc w:val="left"/>
              <w:textAlignment w:val="auto"/>
              <w:rPr>
                <w:rFonts w:ascii="宋体" w:hAnsi="宋体" w:cs="宋体"/>
                <w:sz w:val="18"/>
                <w:szCs w:val="18"/>
              </w:rPr>
            </w:pPr>
            <w:r>
              <w:rPr>
                <w:rFonts w:hint="eastAsia" w:ascii="宋体" w:hAnsi="宋体" w:cs="宋体"/>
                <w:sz w:val="18"/>
                <w:szCs w:val="18"/>
              </w:rPr>
              <w:t>通过分别扮演CEO、人力资源经理、财务经理、仓储经理、运输经理、市场经理等角色，了解一个典型物流企业的市场运作，或者去物流运营企业实训2周；</w:t>
            </w:r>
          </w:p>
          <w:p>
            <w:pPr>
              <w:pStyle w:val="17"/>
              <w:keepNext w:val="0"/>
              <w:keepLines w:val="0"/>
              <w:pageBreakBefore w:val="0"/>
              <w:widowControl w:val="0"/>
              <w:numPr>
                <w:ilvl w:val="0"/>
                <w:numId w:val="9"/>
              </w:numPr>
              <w:kinsoku/>
              <w:wordWrap/>
              <w:overflowPunct/>
              <w:topLinePunct w:val="0"/>
              <w:autoSpaceDE/>
              <w:autoSpaceDN/>
              <w:bidi w:val="0"/>
              <w:adjustRightInd/>
              <w:snapToGrid/>
              <w:spacing w:line="360" w:lineRule="exact"/>
              <w:ind w:left="283" w:hanging="283" w:firstLineChars="0"/>
              <w:jc w:val="left"/>
              <w:textAlignment w:val="auto"/>
              <w:rPr>
                <w:rFonts w:ascii="宋体" w:hAnsi="宋体" w:cs="宋体"/>
                <w:sz w:val="18"/>
                <w:szCs w:val="18"/>
              </w:rPr>
            </w:pPr>
            <w:r>
              <w:rPr>
                <w:rFonts w:hint="eastAsia" w:ascii="宋体" w:hAnsi="宋体" w:cs="宋体"/>
                <w:sz w:val="18"/>
                <w:szCs w:val="18"/>
              </w:rPr>
              <w:t>能够完成6年的物流企业经营实战演练，合理地进行预测和决策。</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1135" w:type="dxa"/>
            <w:shd w:val="clear" w:color="auto" w:fill="auto"/>
            <w:vAlign w:val="center"/>
          </w:tcPr>
          <w:p>
            <w:pPr>
              <w:jc w:val="center"/>
              <w:rPr>
                <w:rFonts w:ascii="宋体" w:hAnsi="宋体" w:cs="宋体"/>
                <w:sz w:val="18"/>
                <w:szCs w:val="18"/>
              </w:rPr>
            </w:pPr>
            <w:r>
              <w:rPr>
                <w:rFonts w:hint="eastAsia" w:ascii="宋体" w:hAnsi="宋体" w:cs="宋体"/>
                <w:sz w:val="18"/>
                <w:szCs w:val="18"/>
              </w:rPr>
              <w:t>专业劳动教育暑期社会实践</w:t>
            </w:r>
          </w:p>
        </w:tc>
        <w:tc>
          <w:tcPr>
            <w:tcW w:w="709" w:type="dxa"/>
            <w:shd w:val="clear" w:color="auto" w:fill="auto"/>
            <w:vAlign w:val="center"/>
          </w:tcPr>
          <w:p>
            <w:pPr>
              <w:jc w:val="center"/>
              <w:rPr>
                <w:rFonts w:ascii="宋体" w:hAnsi="宋体" w:cs="宋体"/>
                <w:sz w:val="18"/>
                <w:szCs w:val="18"/>
              </w:rPr>
            </w:pPr>
            <w:r>
              <w:rPr>
                <w:rFonts w:hint="eastAsia" w:ascii="宋体" w:hAnsi="宋体" w:cs="宋体"/>
                <w:sz w:val="18"/>
                <w:szCs w:val="18"/>
              </w:rPr>
              <w:t>3</w:t>
            </w:r>
          </w:p>
        </w:tc>
        <w:tc>
          <w:tcPr>
            <w:tcW w:w="850" w:type="dxa"/>
            <w:shd w:val="clear" w:color="auto" w:fill="auto"/>
            <w:vAlign w:val="center"/>
          </w:tcPr>
          <w:p>
            <w:pPr>
              <w:jc w:val="center"/>
              <w:rPr>
                <w:rFonts w:ascii="宋体" w:hAnsi="宋体" w:cs="宋体"/>
                <w:sz w:val="18"/>
                <w:szCs w:val="18"/>
              </w:rPr>
            </w:pPr>
            <w:r>
              <w:rPr>
                <w:rFonts w:hint="eastAsia" w:ascii="宋体" w:hAnsi="宋体" w:cs="宋体"/>
                <w:sz w:val="18"/>
                <w:szCs w:val="18"/>
              </w:rPr>
              <w:t>1</w:t>
            </w:r>
          </w:p>
        </w:tc>
        <w:tc>
          <w:tcPr>
            <w:tcW w:w="6146" w:type="dxa"/>
            <w:shd w:val="clear" w:color="auto" w:fill="auto"/>
            <w:vAlign w:val="center"/>
          </w:tcPr>
          <w:p>
            <w:pPr>
              <w:pStyle w:val="17"/>
              <w:keepNext w:val="0"/>
              <w:keepLines w:val="0"/>
              <w:pageBreakBefore w:val="0"/>
              <w:widowControl w:val="0"/>
              <w:numPr>
                <w:ilvl w:val="0"/>
                <w:numId w:val="9"/>
              </w:numPr>
              <w:kinsoku/>
              <w:wordWrap/>
              <w:overflowPunct/>
              <w:topLinePunct w:val="0"/>
              <w:autoSpaceDE/>
              <w:autoSpaceDN/>
              <w:bidi w:val="0"/>
              <w:adjustRightInd/>
              <w:snapToGrid/>
              <w:spacing w:line="360" w:lineRule="exact"/>
              <w:ind w:left="283" w:hanging="283" w:firstLineChars="0"/>
              <w:jc w:val="left"/>
              <w:textAlignment w:val="auto"/>
              <w:rPr>
                <w:rFonts w:ascii="宋体" w:hAnsi="宋体" w:cs="宋体"/>
                <w:sz w:val="18"/>
                <w:szCs w:val="18"/>
              </w:rPr>
            </w:pPr>
            <w:r>
              <w:rPr>
                <w:rFonts w:hint="eastAsia" w:ascii="宋体" w:hAnsi="宋体" w:cs="宋体"/>
                <w:sz w:val="18"/>
                <w:szCs w:val="18"/>
              </w:rPr>
              <w:t>围绕区域特色产业集群进行物流企业运营，开展劳动教育，展现数字贸易时代的工匠精神。</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1135" w:type="dxa"/>
            <w:shd w:val="clear" w:color="auto" w:fill="auto"/>
            <w:vAlign w:val="center"/>
          </w:tcPr>
          <w:p>
            <w:pPr>
              <w:spacing w:line="360" w:lineRule="exact"/>
              <w:jc w:val="center"/>
              <w:rPr>
                <w:sz w:val="18"/>
                <w:szCs w:val="18"/>
              </w:rPr>
            </w:pPr>
            <w:r>
              <w:rPr>
                <w:rFonts w:hint="eastAsia"/>
                <w:sz w:val="18"/>
                <w:szCs w:val="18"/>
              </w:rPr>
              <w:t>毕业实习</w:t>
            </w:r>
          </w:p>
        </w:tc>
        <w:tc>
          <w:tcPr>
            <w:tcW w:w="709" w:type="dxa"/>
            <w:shd w:val="clear" w:color="auto" w:fill="auto"/>
            <w:vAlign w:val="center"/>
          </w:tcPr>
          <w:p>
            <w:pPr>
              <w:spacing w:line="360" w:lineRule="exact"/>
              <w:jc w:val="center"/>
              <w:rPr>
                <w:rFonts w:ascii="宋体" w:hAnsi="宋体" w:cs="宋体"/>
                <w:sz w:val="18"/>
                <w:szCs w:val="18"/>
              </w:rPr>
            </w:pPr>
            <w:r>
              <w:rPr>
                <w:rFonts w:ascii="宋体" w:hAnsi="宋体" w:cs="宋体"/>
                <w:sz w:val="18"/>
                <w:szCs w:val="18"/>
              </w:rPr>
              <w:t>4</w:t>
            </w:r>
          </w:p>
        </w:tc>
        <w:tc>
          <w:tcPr>
            <w:tcW w:w="850" w:type="dxa"/>
            <w:shd w:val="clear" w:color="auto" w:fill="auto"/>
            <w:vAlign w:val="center"/>
          </w:tcPr>
          <w:p>
            <w:pPr>
              <w:spacing w:line="360" w:lineRule="exact"/>
              <w:jc w:val="center"/>
              <w:rPr>
                <w:rFonts w:ascii="宋体" w:hAnsi="宋体" w:cs="宋体"/>
                <w:sz w:val="18"/>
                <w:szCs w:val="18"/>
              </w:rPr>
            </w:pPr>
            <w:r>
              <w:rPr>
                <w:rFonts w:ascii="宋体" w:hAnsi="宋体" w:cs="宋体"/>
                <w:sz w:val="18"/>
                <w:szCs w:val="18"/>
              </w:rPr>
              <w:t>12</w:t>
            </w:r>
          </w:p>
        </w:tc>
        <w:tc>
          <w:tcPr>
            <w:tcW w:w="6146" w:type="dxa"/>
            <w:shd w:val="clear" w:color="auto" w:fill="auto"/>
            <w:vAlign w:val="center"/>
          </w:tcPr>
          <w:p>
            <w:pPr>
              <w:pStyle w:val="17"/>
              <w:keepNext w:val="0"/>
              <w:keepLines w:val="0"/>
              <w:pageBreakBefore w:val="0"/>
              <w:widowControl w:val="0"/>
              <w:numPr>
                <w:ilvl w:val="0"/>
                <w:numId w:val="10"/>
              </w:numPr>
              <w:kinsoku/>
              <w:wordWrap/>
              <w:overflowPunct/>
              <w:topLinePunct w:val="0"/>
              <w:autoSpaceDE/>
              <w:autoSpaceDN/>
              <w:bidi w:val="0"/>
              <w:adjustRightInd/>
              <w:snapToGrid/>
              <w:spacing w:line="360" w:lineRule="exact"/>
              <w:ind w:left="283" w:hanging="283" w:firstLineChars="0"/>
              <w:jc w:val="left"/>
              <w:textAlignment w:val="auto"/>
              <w:rPr>
                <w:rFonts w:ascii="宋体" w:hAnsi="宋体" w:cs="宋体"/>
                <w:sz w:val="18"/>
                <w:szCs w:val="18"/>
              </w:rPr>
            </w:pPr>
            <w:r>
              <w:rPr>
                <w:rFonts w:hint="eastAsia" w:ascii="宋体" w:hAnsi="宋体" w:cs="宋体"/>
                <w:sz w:val="18"/>
                <w:szCs w:val="18"/>
              </w:rPr>
              <w:t>在仓储管理、运输管理、采购、物流客服或生产计划等岗位上通过企业实习，掌握相关岗位的操作技能，掌握基本知识，为今后的职业发展奠定一定的基础，并积累宝贵的工作经验。</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1135" w:type="dxa"/>
            <w:shd w:val="clear" w:color="auto" w:fill="auto"/>
            <w:vAlign w:val="center"/>
          </w:tcPr>
          <w:p>
            <w:pPr>
              <w:jc w:val="center"/>
              <w:rPr>
                <w:rFonts w:ascii="宋体" w:hAnsi="宋体" w:cs="宋体"/>
                <w:sz w:val="18"/>
                <w:szCs w:val="18"/>
              </w:rPr>
            </w:pPr>
            <w:r>
              <w:rPr>
                <w:rFonts w:hint="eastAsia" w:ascii="宋体" w:hAnsi="宋体" w:cs="宋体"/>
                <w:sz w:val="18"/>
                <w:szCs w:val="18"/>
              </w:rPr>
              <w:t>毕业设计</w:t>
            </w:r>
          </w:p>
        </w:tc>
        <w:tc>
          <w:tcPr>
            <w:tcW w:w="709" w:type="dxa"/>
            <w:shd w:val="clear" w:color="auto" w:fill="auto"/>
            <w:vAlign w:val="center"/>
          </w:tcPr>
          <w:p>
            <w:pPr>
              <w:jc w:val="center"/>
              <w:rPr>
                <w:rFonts w:ascii="宋体" w:hAnsi="宋体" w:cs="宋体"/>
                <w:sz w:val="18"/>
                <w:szCs w:val="18"/>
              </w:rPr>
            </w:pPr>
            <w:r>
              <w:rPr>
                <w:rFonts w:ascii="宋体" w:hAnsi="宋体" w:cs="宋体"/>
                <w:sz w:val="18"/>
                <w:szCs w:val="18"/>
              </w:rPr>
              <w:t>4</w:t>
            </w:r>
          </w:p>
        </w:tc>
        <w:tc>
          <w:tcPr>
            <w:tcW w:w="850" w:type="dxa"/>
            <w:shd w:val="clear" w:color="auto" w:fill="auto"/>
            <w:vAlign w:val="center"/>
          </w:tcPr>
          <w:p>
            <w:pPr>
              <w:jc w:val="center"/>
              <w:rPr>
                <w:rFonts w:ascii="宋体" w:hAnsi="宋体" w:cs="宋体"/>
                <w:sz w:val="18"/>
                <w:szCs w:val="18"/>
              </w:rPr>
            </w:pPr>
            <w:r>
              <w:rPr>
                <w:rFonts w:hint="eastAsia" w:ascii="宋体" w:hAnsi="宋体" w:cs="宋体"/>
                <w:sz w:val="18"/>
                <w:szCs w:val="18"/>
              </w:rPr>
              <w:t>6</w:t>
            </w:r>
          </w:p>
        </w:tc>
        <w:tc>
          <w:tcPr>
            <w:tcW w:w="6146" w:type="dxa"/>
            <w:shd w:val="clear" w:color="auto" w:fill="auto"/>
            <w:vAlign w:val="center"/>
          </w:tcPr>
          <w:p>
            <w:pPr>
              <w:pStyle w:val="17"/>
              <w:keepNext w:val="0"/>
              <w:keepLines w:val="0"/>
              <w:pageBreakBefore w:val="0"/>
              <w:widowControl w:val="0"/>
              <w:numPr>
                <w:ilvl w:val="0"/>
                <w:numId w:val="10"/>
              </w:numPr>
              <w:kinsoku/>
              <w:wordWrap/>
              <w:overflowPunct/>
              <w:topLinePunct w:val="0"/>
              <w:autoSpaceDE/>
              <w:autoSpaceDN/>
              <w:bidi w:val="0"/>
              <w:adjustRightInd/>
              <w:snapToGrid/>
              <w:spacing w:line="360" w:lineRule="exact"/>
              <w:ind w:left="283" w:hanging="283" w:firstLineChars="0"/>
              <w:jc w:val="left"/>
              <w:textAlignment w:val="auto"/>
              <w:rPr>
                <w:rFonts w:ascii="宋体" w:hAnsi="宋体" w:cs="宋体"/>
                <w:sz w:val="18"/>
                <w:szCs w:val="18"/>
              </w:rPr>
            </w:pPr>
            <w:r>
              <w:rPr>
                <w:rFonts w:hint="eastAsia" w:ascii="宋体" w:hAnsi="宋体" w:cs="宋体"/>
                <w:sz w:val="18"/>
                <w:szCs w:val="18"/>
              </w:rPr>
              <w:t>参见毕业设计相关内容及要求。</w:t>
            </w:r>
          </w:p>
        </w:tc>
      </w:tr>
    </w:tbl>
    <w:p>
      <w:pPr>
        <w:spacing w:line="400" w:lineRule="exact"/>
        <w:ind w:firstLine="480" w:firstLineChars="200"/>
        <w:jc w:val="left"/>
        <w:outlineLvl w:val="1"/>
        <w:rPr>
          <w:rFonts w:hint="eastAsia" w:ascii="黑体" w:hAnsi="黑体" w:eastAsia="黑体" w:cs="黑体"/>
          <w:b w:val="0"/>
          <w:bCs w:val="0"/>
          <w:kern w:val="0"/>
          <w:sz w:val="24"/>
          <w:szCs w:val="24"/>
        </w:rPr>
      </w:pPr>
      <w:r>
        <w:rPr>
          <w:rFonts w:hint="eastAsia" w:ascii="黑体" w:hAnsi="黑体" w:eastAsia="黑体" w:cs="黑体"/>
          <w:b w:val="0"/>
          <w:bCs w:val="0"/>
          <w:kern w:val="0"/>
          <w:sz w:val="24"/>
          <w:szCs w:val="24"/>
        </w:rPr>
        <w:t>七、教学进程及学时安排</w:t>
      </w:r>
    </w:p>
    <w:p>
      <w:pPr>
        <w:spacing w:line="400" w:lineRule="exact"/>
        <w:ind w:firstLine="422" w:firstLineChars="200"/>
        <w:jc w:val="left"/>
        <w:rPr>
          <w:b/>
          <w:bCs/>
          <w:color w:val="000000"/>
          <w:kern w:val="0"/>
          <w:szCs w:val="21"/>
        </w:rPr>
      </w:pPr>
      <w:r>
        <w:rPr>
          <w:b/>
          <w:bCs/>
          <w:color w:val="000000"/>
          <w:kern w:val="0"/>
          <w:szCs w:val="21"/>
        </w:rPr>
        <w:t>（一）教学周数安排表</w:t>
      </w:r>
    </w:p>
    <w:p>
      <w:pPr>
        <w:pStyle w:val="5"/>
        <w:keepNext/>
        <w:jc w:val="center"/>
        <w:rPr>
          <w:rFonts w:ascii="Times New Roman" w:hAnsi="Times New Roman" w:eastAsiaTheme="minorEastAsia"/>
          <w:b/>
          <w:bCs/>
          <w:sz w:val="18"/>
          <w:szCs w:val="18"/>
        </w:rPr>
      </w:pPr>
      <w:r>
        <w:rPr>
          <w:rFonts w:ascii="Times New Roman" w:hAnsi="Times New Roman" w:eastAsiaTheme="minorEastAsia"/>
          <w:b/>
          <w:bCs/>
          <w:sz w:val="18"/>
          <w:szCs w:val="18"/>
        </w:rPr>
        <w:t>表</w:t>
      </w:r>
      <w:r>
        <w:rPr>
          <w:rFonts w:ascii="Times New Roman" w:hAnsi="Times New Roman" w:eastAsiaTheme="minorEastAsia"/>
          <w:b/>
          <w:bCs/>
          <w:sz w:val="18"/>
          <w:szCs w:val="18"/>
        </w:rPr>
        <w:fldChar w:fldCharType="begin"/>
      </w:r>
      <w:r>
        <w:rPr>
          <w:rFonts w:ascii="Times New Roman" w:hAnsi="Times New Roman" w:eastAsiaTheme="minorEastAsia"/>
          <w:b/>
          <w:bCs/>
          <w:sz w:val="18"/>
          <w:szCs w:val="18"/>
        </w:rPr>
        <w:instrText xml:space="preserve"> SEQ 表 \* ARABIC </w:instrText>
      </w:r>
      <w:r>
        <w:rPr>
          <w:rFonts w:ascii="Times New Roman" w:hAnsi="Times New Roman" w:eastAsiaTheme="minorEastAsia"/>
          <w:b/>
          <w:bCs/>
          <w:sz w:val="18"/>
          <w:szCs w:val="18"/>
        </w:rPr>
        <w:fldChar w:fldCharType="separate"/>
      </w:r>
      <w:r>
        <w:rPr>
          <w:rFonts w:ascii="Times New Roman" w:hAnsi="Times New Roman" w:eastAsiaTheme="minorEastAsia"/>
          <w:b/>
          <w:bCs/>
          <w:sz w:val="18"/>
          <w:szCs w:val="18"/>
        </w:rPr>
        <w:t>1</w:t>
      </w:r>
      <w:r>
        <w:rPr>
          <w:rFonts w:ascii="Times New Roman" w:hAnsi="Times New Roman" w:eastAsiaTheme="minorEastAsia"/>
          <w:b/>
          <w:bCs/>
          <w:sz w:val="18"/>
          <w:szCs w:val="18"/>
        </w:rPr>
        <w:fldChar w:fldCharType="end"/>
      </w:r>
      <w:r>
        <w:rPr>
          <w:rFonts w:ascii="Times New Roman" w:hAnsi="Times New Roman" w:eastAsiaTheme="minorEastAsia"/>
          <w:b/>
          <w:bCs/>
          <w:sz w:val="18"/>
          <w:szCs w:val="18"/>
        </w:rPr>
        <w:t>0教学周数安排表</w:t>
      </w:r>
    </w:p>
    <w:tbl>
      <w:tblPr>
        <w:tblStyle w:val="13"/>
        <w:tblW w:w="90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5"/>
        <w:gridCol w:w="811"/>
        <w:gridCol w:w="811"/>
        <w:gridCol w:w="819"/>
        <w:gridCol w:w="811"/>
        <w:gridCol w:w="1256"/>
        <w:gridCol w:w="1100"/>
        <w:gridCol w:w="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95" w:type="dxa"/>
            <w:vMerge w:val="restart"/>
            <w:shd w:val="clear" w:color="auto" w:fill="F1F1F1" w:themeFill="background1" w:themeFillShade="F2"/>
          </w:tcPr>
          <w:p>
            <w:pPr>
              <w:ind w:firstLine="1260" w:firstLineChars="700"/>
              <w:rPr>
                <w:rFonts w:eastAsiaTheme="minorEastAsia"/>
                <w:color w:val="000000"/>
                <w:sz w:val="18"/>
                <w:szCs w:val="18"/>
              </w:rPr>
            </w:pPr>
            <w:r>
              <w:rPr>
                <w:rFonts w:eastAsiaTheme="minorEastAsia"/>
                <w:color w:val="000000"/>
                <w:sz w:val="18"/>
                <w:szCs w:val="18"/>
              </w:rPr>
              <w:pict>
                <v:line id="直接连接符 2" o:spid="_x0000_s1026" o:spt="20" style="position:absolute;left:0pt;margin-left:-4.8pt;margin-top:0.1pt;height:47.7pt;width:124.7pt;z-index:25165926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wx2QEAAI8DAAAOAAAAZHJzL2Uyb0RvYy54bWysU0uOEzEQ3SNxB8t70p2MEoZWOrOYMGwQ&#10;RAIOULHd3Zb8k8ukk0twASR2sGLJntvMcAzKTsjw2SBEL6rL9Xmu97p6ebW3hu1URO1dy6eTmjPl&#10;hJfa9S1/8/rm0SVnmMBJMN6plh8U8qvVwwfLMTRq5gdvpIqMQBw2Y2j5kFJoqgrFoCzgxAflKNn5&#10;aCHRMfaVjDASujXVrK4X1eijDNELhUjR9THJVwW/65RIL7sOVWKm5TRbKjYWu822Wi2h6SOEQYvT&#10;GPAPU1jQji49Q60hAXsb9R9QVovo0XdpIrytfNdpoQoHYjOtf2PzaoCgChcSB8NZJvx/sOLFbhOZ&#10;li2fcebA0ie6e//l9t3Hb18/kL37/InNskhjwIZqr90mnk4YNjEz3nfR5jdxYfsi7OEsrNonJig4&#10;nV9eLJ6Q/oJyi3r+mHyCqe67Q8T0THnLstNyo10mDg3snmM6lv4oyWHj2EhIF/OMCbQ3nYFErg3E&#10;BF1fetEbLW+0MbkDY7+9NpHtIG9CeU4j/FKWL1kDDse6kspl0AwK5FMnWToE0sjRMvM8glWSM6No&#10;97NXKhNo8zeVxN44EiFLexQze1svD0XjEqevXmQ6bWheq5/Ppfv+P1p9BwAA//8DAFBLAwQUAAYA&#10;CAAAACEAS4E1WtoAAAAGAQAADwAAAGRycy9kb3ducmV2LnhtbEyPQUvEMBSE74L/ITzB227aSout&#10;TRcRKl48uIrnbPNsi8lLSbJN9dcbT3ocZpj5pj1sRrMVnZ8tCcj3GTCkwaqZRgFvr/3uFpgPkpTU&#10;llDAF3o4dJcXrWyUjfSC6zGMLJWQb6SAKYSl4dwPExrp93ZBSt6HdUaGJN3IlZMxlRvNiyyruJEz&#10;pYVJLvgw4fB5PBsBlId3HWOIq/suH8u87J+y516I66vt/g5YwC38heEXP6FDl5hO9kzKMy1gV1cp&#10;KaAAltzipk5HTgLqsgLetfw/fvcDAAD//wMAUEsBAi0AFAAGAAgAAAAhALaDOJL+AAAA4QEAABMA&#10;AAAAAAAAAAAAAAAAAAAAAFtDb250ZW50X1R5cGVzXS54bWxQSwECLQAUAAYACAAAACEAOP0h/9YA&#10;AACUAQAACwAAAAAAAAAAAAAAAAAvAQAAX3JlbHMvLnJlbHNQSwECLQAUAAYACAAAACEA/xHMMdkB&#10;AACPAwAADgAAAAAAAAAAAAAAAAAuAgAAZHJzL2Uyb0RvYy54bWxQSwECLQAUAAYACAAAACEAS4E1&#10;WtoAAAAGAQAADwAAAAAAAAAAAAAAAAAzBAAAZHJzL2Rvd25yZXYueG1sUEsFBgAAAAAEAAQA8wAA&#10;ADoFAAAAAA==&#10;">
                  <v:path arrowok="t"/>
                  <v:fill focussize="0,0"/>
                  <v:stroke weight="0.5pt"/>
                  <v:imagedata o:title=""/>
                  <o:lock v:ext="edit"/>
                </v:line>
              </w:pict>
            </w:r>
            <w:r>
              <w:rPr>
                <w:rFonts w:eastAsiaTheme="minorEastAsia"/>
                <w:color w:val="000000"/>
                <w:sz w:val="18"/>
                <w:szCs w:val="18"/>
              </w:rPr>
              <w:t>项目</w:t>
            </w:r>
          </w:p>
          <w:p>
            <w:pPr>
              <w:ind w:firstLine="360" w:firstLineChars="200"/>
              <w:rPr>
                <w:rFonts w:eastAsiaTheme="minorEastAsia"/>
                <w:color w:val="000000"/>
                <w:sz w:val="18"/>
                <w:szCs w:val="18"/>
              </w:rPr>
            </w:pPr>
            <w:r>
              <w:rPr>
                <w:rFonts w:eastAsiaTheme="minorEastAsia"/>
                <w:color w:val="000000"/>
                <w:sz w:val="18"/>
                <w:szCs w:val="18"/>
              </w:rPr>
              <w:pict>
                <v:line id="直接连接符 3" o:spid="_x0000_s1027" o:spt="20" style="position:absolute;left:0pt;margin-left:-4.45pt;margin-top:11.3pt;height:20.55pt;width:123.15pt;z-index:25166028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QET3QEAAI8DAAAOAAAAZHJzL2Uyb0RvYy54bWysU0uOEzEQ3SNxB8t70p2ERDOtdGYxYdgg&#10;iAQcoGK705b8k8ukk0twASR2sGLJntvMcAzKTibDZ4MQvaguV72qrvdcvbjaW8N2KqL2ruXjUc2Z&#10;csJL7bYtf/vm5skFZ5jASTDeqZYfFPKr5eNHiyE0auJ7b6SKjJo4bIbQ8j6l0FQVil5ZwJEPylGy&#10;89FComPcVjLCQN2tqSZ1Pa8GH2WIXihEiq6OSb4s/btOifSq61AlZlpOs6ViY7GbbKvlAppthNBr&#10;cRoD/mEKC9rRR8+tVpCAvYv6j1ZWi+jRd2kkvK1812mhCgdiM65/Y/O6h6AKFxIHw1km/H9txcvd&#10;OjItWz7lzIGlK7r78PX2/afv3z6SvfvymU2zSEPAhrDXbh1PJwzrmBnvu2jzm7iwfRH2cBZW7RMT&#10;FBzP5k/resaZoNxkXl9ezHLT6qE6REzPlbcsOy032mXi0MDuBaYj9B6Sw8axoeXz6YzuVADtTWcg&#10;kWsDMUG3LbXojZY32phcgXG7uTaR7SBvQnlOI/wCyx9ZAfZHXEllGDS9AvnMSZYOgTRytMw8j2CV&#10;5Mwo2v3sFWQCbf4GSeyNIxGytEcxs7fx8lA0LnG69SLTaUPzWv18LtUP/9HyBwAAAP//AwBQSwME&#10;FAAGAAgAAAAhAKpC4+beAAAACAEAAA8AAABkcnMvZG93bnJldi54bWxMjzFPwzAUhHck/oP1kNha&#10;JylJ2xCnQkhBLAwU1NmNH0mE/RzFbhz49ZgJxtOd7r6rDovRbMbJDZYEpOsEGFJr1UCdgPe3ZrUD&#10;5rwkJbUlFPCFDg719VUlS2UDveJ89B2LJeRKKaD3fiw5d22PRrq1HZGi92EnI32UU8fVJEMsN5pn&#10;SVJwIweKC70c8bHH9vN4MQIo9Scdgg/z9J0/5WnePCcvjRC3N8vDPTCPi/8Lwy9+RIc6Mp3thZRj&#10;WsBqt49JAVlWAIt+ttneATsLKDZb4HXF/x+ofwAAAP//AwBQSwECLQAUAAYACAAAACEAtoM4kv4A&#10;AADhAQAAEwAAAAAAAAAAAAAAAAAAAAAAW0NvbnRlbnRfVHlwZXNdLnhtbFBLAQItABQABgAIAAAA&#10;IQA4/SH/1gAAAJQBAAALAAAAAAAAAAAAAAAAAC8BAABfcmVscy8ucmVsc1BLAQItABQABgAIAAAA&#10;IQBmxQET3QEAAI8DAAAOAAAAAAAAAAAAAAAAAC4CAABkcnMvZTJvRG9jLnhtbFBLAQItABQABgAI&#10;AAAAIQCqQuPm3gAAAAgBAAAPAAAAAAAAAAAAAAAAADcEAABkcnMvZG93bnJldi54bWxQSwUGAAAA&#10;AAQABADzAAAAQgUAAAAA&#10;">
                  <v:path arrowok="t"/>
                  <v:fill focussize="0,0"/>
                  <v:stroke weight="0.5pt"/>
                  <v:imagedata o:title=""/>
                  <o:lock v:ext="edit"/>
                </v:line>
              </w:pict>
            </w:r>
            <w:r>
              <w:rPr>
                <w:rFonts w:eastAsiaTheme="minorEastAsia"/>
                <w:color w:val="000000"/>
                <w:sz w:val="18"/>
                <w:szCs w:val="18"/>
              </w:rPr>
              <w:t>周数</w:t>
            </w:r>
          </w:p>
          <w:p>
            <w:pPr>
              <w:ind w:firstLine="45" w:firstLineChars="25"/>
              <w:rPr>
                <w:rFonts w:eastAsiaTheme="minorEastAsia"/>
                <w:color w:val="000000"/>
                <w:sz w:val="18"/>
                <w:szCs w:val="18"/>
              </w:rPr>
            </w:pPr>
            <w:r>
              <w:rPr>
                <w:rFonts w:eastAsiaTheme="minorEastAsia"/>
                <w:color w:val="000000"/>
                <w:sz w:val="18"/>
                <w:szCs w:val="18"/>
              </w:rPr>
              <w:t>学期</w:t>
            </w:r>
          </w:p>
        </w:tc>
        <w:tc>
          <w:tcPr>
            <w:tcW w:w="2441" w:type="dxa"/>
            <w:gridSpan w:val="3"/>
            <w:shd w:val="clear" w:color="auto" w:fill="F1F1F1" w:themeFill="background1" w:themeFillShade="F2"/>
          </w:tcPr>
          <w:p>
            <w:pPr>
              <w:jc w:val="center"/>
              <w:rPr>
                <w:rFonts w:eastAsiaTheme="minorEastAsia"/>
                <w:color w:val="000000"/>
                <w:sz w:val="18"/>
                <w:szCs w:val="18"/>
              </w:rPr>
            </w:pPr>
            <w:r>
              <w:rPr>
                <w:rFonts w:eastAsiaTheme="minorEastAsia"/>
                <w:color w:val="000000"/>
                <w:sz w:val="18"/>
                <w:szCs w:val="18"/>
              </w:rPr>
              <w:t>授课环节</w:t>
            </w:r>
          </w:p>
        </w:tc>
        <w:tc>
          <w:tcPr>
            <w:tcW w:w="3167" w:type="dxa"/>
            <w:gridSpan w:val="3"/>
            <w:shd w:val="clear" w:color="auto" w:fill="F1F1F1" w:themeFill="background1" w:themeFillShade="F2"/>
            <w:vAlign w:val="center"/>
          </w:tcPr>
          <w:p>
            <w:pPr>
              <w:jc w:val="center"/>
              <w:rPr>
                <w:rFonts w:eastAsiaTheme="minorEastAsia"/>
                <w:color w:val="000000"/>
                <w:sz w:val="18"/>
                <w:szCs w:val="18"/>
              </w:rPr>
            </w:pPr>
            <w:r>
              <w:rPr>
                <w:rFonts w:eastAsiaTheme="minorEastAsia"/>
                <w:color w:val="000000"/>
                <w:sz w:val="18"/>
                <w:szCs w:val="18"/>
              </w:rPr>
              <w:t>其他环节</w:t>
            </w:r>
          </w:p>
        </w:tc>
        <w:tc>
          <w:tcPr>
            <w:tcW w:w="975" w:type="dxa"/>
            <w:vMerge w:val="restart"/>
            <w:shd w:val="clear" w:color="auto" w:fill="F1F1F1" w:themeFill="background1" w:themeFillShade="F2"/>
            <w:vAlign w:val="center"/>
          </w:tcPr>
          <w:p>
            <w:pPr>
              <w:jc w:val="center"/>
              <w:rPr>
                <w:rFonts w:eastAsiaTheme="minorEastAsia"/>
                <w:color w:val="000000"/>
                <w:sz w:val="18"/>
                <w:szCs w:val="18"/>
              </w:rPr>
            </w:pPr>
            <w:r>
              <w:rPr>
                <w:rFonts w:eastAsiaTheme="minorEastAsia"/>
                <w:color w:val="000000"/>
                <w:sz w:val="18"/>
                <w:szCs w:val="18"/>
              </w:rPr>
              <w:t>社会</w:t>
            </w:r>
          </w:p>
          <w:p>
            <w:pPr>
              <w:jc w:val="center"/>
              <w:rPr>
                <w:rFonts w:eastAsiaTheme="minorEastAsia"/>
                <w:color w:val="000000"/>
                <w:sz w:val="18"/>
                <w:szCs w:val="18"/>
              </w:rPr>
            </w:pPr>
            <w:r>
              <w:rPr>
                <w:rFonts w:eastAsiaTheme="minorEastAsia"/>
                <w:color w:val="000000"/>
                <w:sz w:val="18"/>
                <w:szCs w:val="18"/>
              </w:rPr>
              <w:t>实践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95" w:type="dxa"/>
            <w:vMerge w:val="continue"/>
          </w:tcPr>
          <w:p>
            <w:pPr>
              <w:ind w:firstLine="900" w:firstLineChars="500"/>
              <w:rPr>
                <w:rFonts w:eastAsiaTheme="minorEastAsia"/>
                <w:color w:val="000000"/>
                <w:sz w:val="18"/>
                <w:szCs w:val="18"/>
              </w:rPr>
            </w:pPr>
          </w:p>
        </w:tc>
        <w:tc>
          <w:tcPr>
            <w:tcW w:w="811" w:type="dxa"/>
            <w:shd w:val="clear" w:color="auto" w:fill="F1F1F1" w:themeFill="background1" w:themeFillShade="F2"/>
            <w:vAlign w:val="center"/>
          </w:tcPr>
          <w:p>
            <w:pPr>
              <w:jc w:val="center"/>
              <w:rPr>
                <w:rFonts w:eastAsiaTheme="minorEastAsia"/>
                <w:color w:val="000000"/>
                <w:sz w:val="18"/>
                <w:szCs w:val="18"/>
              </w:rPr>
            </w:pPr>
            <w:r>
              <w:rPr>
                <w:rFonts w:eastAsiaTheme="minorEastAsia"/>
                <w:color w:val="000000"/>
                <w:sz w:val="18"/>
                <w:szCs w:val="18"/>
              </w:rPr>
              <w:t>总教学周数</w:t>
            </w:r>
          </w:p>
        </w:tc>
        <w:tc>
          <w:tcPr>
            <w:tcW w:w="811" w:type="dxa"/>
            <w:shd w:val="clear" w:color="auto" w:fill="F1F1F1" w:themeFill="background1" w:themeFillShade="F2"/>
            <w:vAlign w:val="center"/>
          </w:tcPr>
          <w:p>
            <w:pPr>
              <w:jc w:val="center"/>
              <w:rPr>
                <w:rFonts w:eastAsiaTheme="minorEastAsia"/>
                <w:color w:val="000000"/>
                <w:sz w:val="18"/>
                <w:szCs w:val="18"/>
              </w:rPr>
            </w:pPr>
            <w:r>
              <w:rPr>
                <w:rFonts w:eastAsiaTheme="minorEastAsia"/>
                <w:color w:val="000000"/>
                <w:sz w:val="18"/>
                <w:szCs w:val="18"/>
              </w:rPr>
              <w:t>课内</w:t>
            </w:r>
          </w:p>
          <w:p>
            <w:pPr>
              <w:jc w:val="center"/>
              <w:rPr>
                <w:rFonts w:eastAsiaTheme="minorEastAsia"/>
                <w:color w:val="000000"/>
                <w:sz w:val="18"/>
                <w:szCs w:val="18"/>
              </w:rPr>
            </w:pPr>
            <w:r>
              <w:rPr>
                <w:rFonts w:eastAsiaTheme="minorEastAsia"/>
                <w:color w:val="000000"/>
                <w:sz w:val="18"/>
                <w:szCs w:val="18"/>
              </w:rPr>
              <w:t>教学</w:t>
            </w:r>
          </w:p>
        </w:tc>
        <w:tc>
          <w:tcPr>
            <w:tcW w:w="819" w:type="dxa"/>
            <w:shd w:val="clear" w:color="auto" w:fill="F1F1F1" w:themeFill="background1" w:themeFillShade="F2"/>
            <w:vAlign w:val="center"/>
          </w:tcPr>
          <w:p>
            <w:pPr>
              <w:jc w:val="center"/>
              <w:rPr>
                <w:rFonts w:eastAsiaTheme="minorEastAsia"/>
                <w:color w:val="000000"/>
                <w:sz w:val="18"/>
                <w:szCs w:val="18"/>
              </w:rPr>
            </w:pPr>
            <w:r>
              <w:rPr>
                <w:rFonts w:eastAsiaTheme="minorEastAsia"/>
                <w:color w:val="000000"/>
                <w:sz w:val="18"/>
                <w:szCs w:val="18"/>
              </w:rPr>
              <w:t>集中时间教学</w:t>
            </w:r>
          </w:p>
        </w:tc>
        <w:tc>
          <w:tcPr>
            <w:tcW w:w="811" w:type="dxa"/>
            <w:shd w:val="clear" w:color="auto" w:fill="F1F1F1" w:themeFill="background1" w:themeFillShade="F2"/>
            <w:vAlign w:val="center"/>
          </w:tcPr>
          <w:p>
            <w:pPr>
              <w:jc w:val="center"/>
              <w:rPr>
                <w:rFonts w:eastAsiaTheme="minorEastAsia"/>
                <w:color w:val="000000"/>
                <w:sz w:val="18"/>
                <w:szCs w:val="18"/>
              </w:rPr>
            </w:pPr>
            <w:r>
              <w:rPr>
                <w:rFonts w:eastAsiaTheme="minorEastAsia"/>
                <w:color w:val="000000"/>
                <w:sz w:val="18"/>
                <w:szCs w:val="18"/>
              </w:rPr>
              <w:t>复习</w:t>
            </w:r>
          </w:p>
          <w:p>
            <w:pPr>
              <w:jc w:val="center"/>
              <w:rPr>
                <w:rFonts w:eastAsiaTheme="minorEastAsia"/>
                <w:color w:val="000000"/>
                <w:sz w:val="18"/>
                <w:szCs w:val="18"/>
              </w:rPr>
            </w:pPr>
            <w:r>
              <w:rPr>
                <w:rFonts w:eastAsiaTheme="minorEastAsia"/>
                <w:color w:val="000000"/>
                <w:sz w:val="18"/>
                <w:szCs w:val="18"/>
              </w:rPr>
              <w:t>考试</w:t>
            </w:r>
          </w:p>
        </w:tc>
        <w:tc>
          <w:tcPr>
            <w:tcW w:w="1256" w:type="dxa"/>
            <w:shd w:val="clear" w:color="auto" w:fill="F1F1F1" w:themeFill="background1" w:themeFillShade="F2"/>
            <w:vAlign w:val="center"/>
          </w:tcPr>
          <w:p>
            <w:pPr>
              <w:jc w:val="center"/>
              <w:rPr>
                <w:rFonts w:eastAsiaTheme="minorEastAsia"/>
                <w:color w:val="000000"/>
                <w:sz w:val="18"/>
                <w:szCs w:val="18"/>
              </w:rPr>
            </w:pPr>
            <w:r>
              <w:rPr>
                <w:rFonts w:eastAsiaTheme="minorEastAsia"/>
                <w:color w:val="000000"/>
                <w:sz w:val="18"/>
                <w:szCs w:val="18"/>
              </w:rPr>
              <w:t>入学毕</w:t>
            </w:r>
          </w:p>
          <w:p>
            <w:pPr>
              <w:jc w:val="center"/>
              <w:rPr>
                <w:rFonts w:eastAsiaTheme="minorEastAsia"/>
                <w:color w:val="000000"/>
                <w:sz w:val="18"/>
                <w:szCs w:val="18"/>
              </w:rPr>
            </w:pPr>
            <w:r>
              <w:rPr>
                <w:rFonts w:eastAsiaTheme="minorEastAsia"/>
                <w:color w:val="000000"/>
                <w:sz w:val="18"/>
                <w:szCs w:val="18"/>
              </w:rPr>
              <w:t>业教育</w:t>
            </w:r>
          </w:p>
        </w:tc>
        <w:tc>
          <w:tcPr>
            <w:tcW w:w="1100" w:type="dxa"/>
            <w:shd w:val="clear" w:color="auto" w:fill="F1F1F1" w:themeFill="background1" w:themeFillShade="F2"/>
            <w:vAlign w:val="center"/>
          </w:tcPr>
          <w:p>
            <w:pPr>
              <w:jc w:val="center"/>
              <w:rPr>
                <w:rFonts w:eastAsiaTheme="minorEastAsia"/>
                <w:color w:val="000000"/>
                <w:sz w:val="18"/>
                <w:szCs w:val="18"/>
              </w:rPr>
            </w:pPr>
            <w:r>
              <w:rPr>
                <w:rFonts w:eastAsiaTheme="minorEastAsia"/>
                <w:color w:val="000000"/>
                <w:sz w:val="18"/>
                <w:szCs w:val="18"/>
              </w:rPr>
              <w:t>军训/机动</w:t>
            </w:r>
          </w:p>
        </w:tc>
        <w:tc>
          <w:tcPr>
            <w:tcW w:w="975" w:type="dxa"/>
            <w:vMerge w:val="continue"/>
            <w:vAlign w:val="center"/>
          </w:tcPr>
          <w:p>
            <w:pPr>
              <w:jc w:val="center"/>
              <w:rPr>
                <w:rFonts w:eastAsiaTheme="minorEastAsia"/>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495" w:type="dxa"/>
          </w:tcPr>
          <w:p>
            <w:pPr>
              <w:jc w:val="center"/>
              <w:rPr>
                <w:rFonts w:eastAsiaTheme="minorEastAsia"/>
                <w:color w:val="000000"/>
                <w:sz w:val="18"/>
                <w:szCs w:val="18"/>
              </w:rPr>
            </w:pPr>
            <w:r>
              <w:rPr>
                <w:rFonts w:eastAsiaTheme="minorEastAsia"/>
                <w:color w:val="000000"/>
                <w:sz w:val="18"/>
                <w:szCs w:val="18"/>
              </w:rPr>
              <w:t>一</w:t>
            </w:r>
          </w:p>
        </w:tc>
        <w:tc>
          <w:tcPr>
            <w:tcW w:w="811" w:type="dxa"/>
          </w:tcPr>
          <w:p>
            <w:pPr>
              <w:jc w:val="center"/>
              <w:rPr>
                <w:rFonts w:eastAsiaTheme="minorEastAsia"/>
                <w:color w:val="000000"/>
                <w:sz w:val="18"/>
                <w:szCs w:val="18"/>
              </w:rPr>
            </w:pPr>
            <w:r>
              <w:rPr>
                <w:rFonts w:eastAsiaTheme="minorEastAsia"/>
                <w:color w:val="000000"/>
                <w:sz w:val="18"/>
                <w:szCs w:val="18"/>
              </w:rPr>
              <w:t>20</w:t>
            </w:r>
          </w:p>
        </w:tc>
        <w:tc>
          <w:tcPr>
            <w:tcW w:w="811" w:type="dxa"/>
          </w:tcPr>
          <w:p>
            <w:pPr>
              <w:jc w:val="center"/>
              <w:rPr>
                <w:sz w:val="18"/>
                <w:szCs w:val="18"/>
              </w:rPr>
            </w:pPr>
            <w:r>
              <w:rPr>
                <w:sz w:val="18"/>
                <w:szCs w:val="18"/>
              </w:rPr>
              <w:t>13</w:t>
            </w:r>
          </w:p>
        </w:tc>
        <w:tc>
          <w:tcPr>
            <w:tcW w:w="819" w:type="dxa"/>
          </w:tcPr>
          <w:p>
            <w:pPr>
              <w:jc w:val="center"/>
              <w:rPr>
                <w:sz w:val="18"/>
                <w:szCs w:val="18"/>
              </w:rPr>
            </w:pPr>
            <w:r>
              <w:rPr>
                <w:sz w:val="18"/>
                <w:szCs w:val="18"/>
              </w:rPr>
              <w:t>3</w:t>
            </w:r>
          </w:p>
        </w:tc>
        <w:tc>
          <w:tcPr>
            <w:tcW w:w="811" w:type="dxa"/>
          </w:tcPr>
          <w:p>
            <w:pPr>
              <w:jc w:val="center"/>
              <w:rPr>
                <w:sz w:val="18"/>
                <w:szCs w:val="18"/>
              </w:rPr>
            </w:pPr>
            <w:r>
              <w:rPr>
                <w:sz w:val="18"/>
                <w:szCs w:val="18"/>
              </w:rPr>
              <w:t>1</w:t>
            </w:r>
          </w:p>
        </w:tc>
        <w:tc>
          <w:tcPr>
            <w:tcW w:w="1256" w:type="dxa"/>
          </w:tcPr>
          <w:p>
            <w:pPr>
              <w:jc w:val="center"/>
              <w:rPr>
                <w:sz w:val="18"/>
                <w:szCs w:val="18"/>
              </w:rPr>
            </w:pPr>
            <w:r>
              <w:rPr>
                <w:sz w:val="18"/>
                <w:szCs w:val="18"/>
              </w:rPr>
              <w:t>1</w:t>
            </w:r>
          </w:p>
        </w:tc>
        <w:tc>
          <w:tcPr>
            <w:tcW w:w="1100" w:type="dxa"/>
          </w:tcPr>
          <w:p>
            <w:pPr>
              <w:jc w:val="center"/>
              <w:rPr>
                <w:sz w:val="18"/>
                <w:szCs w:val="18"/>
              </w:rPr>
            </w:pPr>
            <w:r>
              <w:rPr>
                <w:sz w:val="18"/>
                <w:szCs w:val="18"/>
              </w:rPr>
              <w:t>2</w:t>
            </w:r>
          </w:p>
        </w:tc>
        <w:tc>
          <w:tcPr>
            <w:tcW w:w="975" w:type="dxa"/>
          </w:tcPr>
          <w:p>
            <w:pPr>
              <w:jc w:val="center"/>
              <w:rPr>
                <w:sz w:val="18"/>
                <w:szCs w:val="18"/>
              </w:rPr>
            </w:pPr>
            <w:r>
              <w:rPr>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495" w:type="dxa"/>
          </w:tcPr>
          <w:p>
            <w:pPr>
              <w:jc w:val="center"/>
              <w:rPr>
                <w:rFonts w:eastAsiaTheme="minorEastAsia"/>
                <w:color w:val="000000"/>
                <w:sz w:val="18"/>
                <w:szCs w:val="18"/>
              </w:rPr>
            </w:pPr>
            <w:r>
              <w:rPr>
                <w:rFonts w:eastAsiaTheme="minorEastAsia"/>
                <w:color w:val="000000"/>
                <w:sz w:val="18"/>
                <w:szCs w:val="18"/>
              </w:rPr>
              <w:t>二</w:t>
            </w:r>
          </w:p>
        </w:tc>
        <w:tc>
          <w:tcPr>
            <w:tcW w:w="811" w:type="dxa"/>
          </w:tcPr>
          <w:p>
            <w:pPr>
              <w:jc w:val="center"/>
              <w:rPr>
                <w:rFonts w:eastAsiaTheme="minorEastAsia"/>
                <w:color w:val="000000"/>
                <w:sz w:val="18"/>
                <w:szCs w:val="18"/>
              </w:rPr>
            </w:pPr>
            <w:r>
              <w:rPr>
                <w:rFonts w:eastAsiaTheme="minorEastAsia"/>
                <w:color w:val="000000"/>
                <w:sz w:val="18"/>
                <w:szCs w:val="18"/>
              </w:rPr>
              <w:t>20</w:t>
            </w:r>
          </w:p>
        </w:tc>
        <w:tc>
          <w:tcPr>
            <w:tcW w:w="811" w:type="dxa"/>
          </w:tcPr>
          <w:p>
            <w:pPr>
              <w:jc w:val="center"/>
              <w:rPr>
                <w:sz w:val="18"/>
                <w:szCs w:val="18"/>
              </w:rPr>
            </w:pPr>
            <w:r>
              <w:rPr>
                <w:sz w:val="18"/>
                <w:szCs w:val="18"/>
              </w:rPr>
              <w:t>16</w:t>
            </w:r>
          </w:p>
        </w:tc>
        <w:tc>
          <w:tcPr>
            <w:tcW w:w="819" w:type="dxa"/>
          </w:tcPr>
          <w:p>
            <w:pPr>
              <w:jc w:val="center"/>
              <w:rPr>
                <w:sz w:val="18"/>
                <w:szCs w:val="18"/>
              </w:rPr>
            </w:pPr>
            <w:r>
              <w:rPr>
                <w:sz w:val="18"/>
                <w:szCs w:val="18"/>
              </w:rPr>
              <w:t>2</w:t>
            </w:r>
          </w:p>
        </w:tc>
        <w:tc>
          <w:tcPr>
            <w:tcW w:w="811" w:type="dxa"/>
          </w:tcPr>
          <w:p>
            <w:pPr>
              <w:jc w:val="center"/>
              <w:rPr>
                <w:sz w:val="18"/>
                <w:szCs w:val="18"/>
              </w:rPr>
            </w:pPr>
            <w:r>
              <w:rPr>
                <w:sz w:val="18"/>
                <w:szCs w:val="18"/>
              </w:rPr>
              <w:t>1</w:t>
            </w:r>
          </w:p>
        </w:tc>
        <w:tc>
          <w:tcPr>
            <w:tcW w:w="1256" w:type="dxa"/>
          </w:tcPr>
          <w:p>
            <w:pPr>
              <w:jc w:val="center"/>
              <w:rPr>
                <w:sz w:val="18"/>
                <w:szCs w:val="18"/>
              </w:rPr>
            </w:pPr>
            <w:r>
              <w:rPr>
                <w:sz w:val="18"/>
                <w:szCs w:val="18"/>
              </w:rPr>
              <w:t>0</w:t>
            </w:r>
          </w:p>
        </w:tc>
        <w:tc>
          <w:tcPr>
            <w:tcW w:w="1100" w:type="dxa"/>
          </w:tcPr>
          <w:p>
            <w:pPr>
              <w:jc w:val="center"/>
              <w:rPr>
                <w:sz w:val="18"/>
                <w:szCs w:val="18"/>
              </w:rPr>
            </w:pPr>
            <w:r>
              <w:rPr>
                <w:sz w:val="18"/>
                <w:szCs w:val="18"/>
              </w:rPr>
              <w:t>1</w:t>
            </w:r>
          </w:p>
        </w:tc>
        <w:tc>
          <w:tcPr>
            <w:tcW w:w="975" w:type="dxa"/>
          </w:tcPr>
          <w:p>
            <w:pPr>
              <w:jc w:val="center"/>
              <w:rPr>
                <w:sz w:val="18"/>
                <w:szCs w:val="18"/>
              </w:rPr>
            </w:pPr>
            <w:r>
              <w:rPr>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495" w:type="dxa"/>
          </w:tcPr>
          <w:p>
            <w:pPr>
              <w:jc w:val="center"/>
              <w:rPr>
                <w:rFonts w:eastAsiaTheme="minorEastAsia"/>
                <w:color w:val="000000"/>
                <w:sz w:val="18"/>
                <w:szCs w:val="18"/>
              </w:rPr>
            </w:pPr>
            <w:r>
              <w:rPr>
                <w:rFonts w:eastAsiaTheme="minorEastAsia"/>
                <w:color w:val="000000"/>
                <w:sz w:val="18"/>
                <w:szCs w:val="18"/>
              </w:rPr>
              <w:t>三</w:t>
            </w:r>
          </w:p>
        </w:tc>
        <w:tc>
          <w:tcPr>
            <w:tcW w:w="811" w:type="dxa"/>
          </w:tcPr>
          <w:p>
            <w:pPr>
              <w:jc w:val="center"/>
              <w:rPr>
                <w:rFonts w:hint="eastAsia" w:eastAsiaTheme="minorEastAsia"/>
                <w:color w:val="000000"/>
                <w:sz w:val="18"/>
                <w:szCs w:val="18"/>
                <w:lang w:val="en-US" w:eastAsia="zh-CN"/>
              </w:rPr>
            </w:pPr>
            <w:r>
              <w:rPr>
                <w:rFonts w:hint="eastAsia" w:eastAsiaTheme="minorEastAsia"/>
                <w:color w:val="000000"/>
                <w:sz w:val="18"/>
                <w:szCs w:val="18"/>
              </w:rPr>
              <w:t>2</w:t>
            </w:r>
            <w:r>
              <w:rPr>
                <w:rFonts w:hint="eastAsia" w:eastAsiaTheme="minorEastAsia"/>
                <w:color w:val="000000"/>
                <w:sz w:val="18"/>
                <w:szCs w:val="18"/>
                <w:lang w:val="en-US" w:eastAsia="zh-CN"/>
              </w:rPr>
              <w:t>0</w:t>
            </w:r>
          </w:p>
        </w:tc>
        <w:tc>
          <w:tcPr>
            <w:tcW w:w="811" w:type="dxa"/>
          </w:tcPr>
          <w:p>
            <w:pPr>
              <w:jc w:val="center"/>
              <w:rPr>
                <w:rFonts w:hint="default"/>
                <w:sz w:val="18"/>
                <w:szCs w:val="18"/>
                <w:lang w:val="en-US"/>
              </w:rPr>
            </w:pPr>
            <w:r>
              <w:rPr>
                <w:rFonts w:hint="eastAsia"/>
                <w:sz w:val="18"/>
                <w:szCs w:val="18"/>
                <w:lang w:val="en-US" w:eastAsia="zh-CN"/>
              </w:rPr>
              <w:t>18</w:t>
            </w:r>
          </w:p>
        </w:tc>
        <w:tc>
          <w:tcPr>
            <w:tcW w:w="819" w:type="dxa"/>
          </w:tcPr>
          <w:p>
            <w:pPr>
              <w:jc w:val="center"/>
              <w:rPr>
                <w:rFonts w:hint="default" w:eastAsia="宋体"/>
                <w:sz w:val="18"/>
                <w:szCs w:val="18"/>
                <w:lang w:val="en-US" w:eastAsia="zh-CN"/>
              </w:rPr>
            </w:pPr>
            <w:r>
              <w:rPr>
                <w:rFonts w:hint="eastAsia"/>
                <w:sz w:val="18"/>
                <w:szCs w:val="18"/>
                <w:lang w:val="en-US" w:eastAsia="zh-CN"/>
              </w:rPr>
              <w:t>0</w:t>
            </w:r>
          </w:p>
        </w:tc>
        <w:tc>
          <w:tcPr>
            <w:tcW w:w="811" w:type="dxa"/>
          </w:tcPr>
          <w:p>
            <w:pPr>
              <w:jc w:val="center"/>
              <w:rPr>
                <w:sz w:val="18"/>
                <w:szCs w:val="18"/>
              </w:rPr>
            </w:pPr>
            <w:r>
              <w:rPr>
                <w:sz w:val="18"/>
                <w:szCs w:val="18"/>
              </w:rPr>
              <w:t>1</w:t>
            </w:r>
          </w:p>
        </w:tc>
        <w:tc>
          <w:tcPr>
            <w:tcW w:w="1256" w:type="dxa"/>
          </w:tcPr>
          <w:p>
            <w:pPr>
              <w:jc w:val="center"/>
              <w:rPr>
                <w:sz w:val="18"/>
                <w:szCs w:val="18"/>
              </w:rPr>
            </w:pPr>
            <w:r>
              <w:rPr>
                <w:sz w:val="18"/>
                <w:szCs w:val="18"/>
              </w:rPr>
              <w:t>0</w:t>
            </w:r>
          </w:p>
        </w:tc>
        <w:tc>
          <w:tcPr>
            <w:tcW w:w="1100" w:type="dxa"/>
          </w:tcPr>
          <w:p>
            <w:pPr>
              <w:jc w:val="center"/>
              <w:rPr>
                <w:sz w:val="18"/>
                <w:szCs w:val="18"/>
              </w:rPr>
            </w:pPr>
            <w:r>
              <w:rPr>
                <w:sz w:val="18"/>
                <w:szCs w:val="18"/>
              </w:rPr>
              <w:t>0</w:t>
            </w:r>
          </w:p>
        </w:tc>
        <w:tc>
          <w:tcPr>
            <w:tcW w:w="975" w:type="dxa"/>
          </w:tcPr>
          <w:p>
            <w:pPr>
              <w:jc w:val="center"/>
              <w:rPr>
                <w:sz w:val="18"/>
                <w:szCs w:val="18"/>
              </w:rPr>
            </w:pPr>
            <w:r>
              <w:rPr>
                <w:rFonts w:hint="eastAsia"/>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495" w:type="dxa"/>
          </w:tcPr>
          <w:p>
            <w:pPr>
              <w:jc w:val="center"/>
              <w:rPr>
                <w:rFonts w:eastAsiaTheme="minorEastAsia"/>
                <w:color w:val="000000"/>
                <w:sz w:val="18"/>
                <w:szCs w:val="18"/>
              </w:rPr>
            </w:pPr>
            <w:r>
              <w:rPr>
                <w:rFonts w:eastAsiaTheme="minorEastAsia"/>
                <w:color w:val="000000"/>
                <w:sz w:val="18"/>
                <w:szCs w:val="18"/>
              </w:rPr>
              <w:t>四</w:t>
            </w:r>
          </w:p>
        </w:tc>
        <w:tc>
          <w:tcPr>
            <w:tcW w:w="811" w:type="dxa"/>
          </w:tcPr>
          <w:p>
            <w:pPr>
              <w:jc w:val="center"/>
              <w:rPr>
                <w:rFonts w:eastAsiaTheme="minorEastAsia"/>
                <w:color w:val="000000"/>
                <w:sz w:val="18"/>
                <w:szCs w:val="18"/>
              </w:rPr>
            </w:pPr>
            <w:r>
              <w:rPr>
                <w:rFonts w:hint="eastAsia" w:eastAsiaTheme="minorEastAsia"/>
                <w:color w:val="000000"/>
                <w:sz w:val="18"/>
                <w:szCs w:val="18"/>
              </w:rPr>
              <w:t>19</w:t>
            </w:r>
          </w:p>
        </w:tc>
        <w:tc>
          <w:tcPr>
            <w:tcW w:w="811" w:type="dxa"/>
          </w:tcPr>
          <w:p>
            <w:pPr>
              <w:jc w:val="center"/>
              <w:rPr>
                <w:sz w:val="18"/>
                <w:szCs w:val="18"/>
              </w:rPr>
            </w:pPr>
            <w:r>
              <w:rPr>
                <w:sz w:val="18"/>
                <w:szCs w:val="18"/>
              </w:rPr>
              <w:t>0</w:t>
            </w:r>
          </w:p>
        </w:tc>
        <w:tc>
          <w:tcPr>
            <w:tcW w:w="819" w:type="dxa"/>
          </w:tcPr>
          <w:p>
            <w:pPr>
              <w:jc w:val="center"/>
              <w:rPr>
                <w:sz w:val="18"/>
                <w:szCs w:val="18"/>
              </w:rPr>
            </w:pPr>
            <w:r>
              <w:rPr>
                <w:sz w:val="18"/>
                <w:szCs w:val="18"/>
              </w:rPr>
              <w:t>18</w:t>
            </w:r>
          </w:p>
        </w:tc>
        <w:tc>
          <w:tcPr>
            <w:tcW w:w="811" w:type="dxa"/>
          </w:tcPr>
          <w:p>
            <w:pPr>
              <w:jc w:val="center"/>
              <w:rPr>
                <w:sz w:val="18"/>
                <w:szCs w:val="18"/>
              </w:rPr>
            </w:pPr>
            <w:r>
              <w:rPr>
                <w:sz w:val="18"/>
                <w:szCs w:val="18"/>
              </w:rPr>
              <w:t>0</w:t>
            </w:r>
          </w:p>
        </w:tc>
        <w:tc>
          <w:tcPr>
            <w:tcW w:w="1256" w:type="dxa"/>
          </w:tcPr>
          <w:p>
            <w:pPr>
              <w:jc w:val="center"/>
              <w:rPr>
                <w:sz w:val="18"/>
                <w:szCs w:val="18"/>
              </w:rPr>
            </w:pPr>
            <w:r>
              <w:rPr>
                <w:sz w:val="18"/>
                <w:szCs w:val="18"/>
              </w:rPr>
              <w:t>1</w:t>
            </w:r>
          </w:p>
        </w:tc>
        <w:tc>
          <w:tcPr>
            <w:tcW w:w="1100" w:type="dxa"/>
          </w:tcPr>
          <w:p>
            <w:pPr>
              <w:jc w:val="center"/>
              <w:rPr>
                <w:sz w:val="18"/>
                <w:szCs w:val="18"/>
              </w:rPr>
            </w:pPr>
            <w:r>
              <w:rPr>
                <w:sz w:val="18"/>
                <w:szCs w:val="18"/>
              </w:rPr>
              <w:t>0</w:t>
            </w:r>
          </w:p>
        </w:tc>
        <w:tc>
          <w:tcPr>
            <w:tcW w:w="975" w:type="dxa"/>
          </w:tcPr>
          <w:p>
            <w:pPr>
              <w:jc w:val="center"/>
              <w:rPr>
                <w:sz w:val="18"/>
                <w:szCs w:val="18"/>
              </w:rPr>
            </w:pPr>
            <w:r>
              <w:rPr>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2495" w:type="dxa"/>
          </w:tcPr>
          <w:p>
            <w:pPr>
              <w:jc w:val="center"/>
              <w:rPr>
                <w:rFonts w:eastAsiaTheme="minorEastAsia"/>
                <w:color w:val="000000"/>
                <w:sz w:val="18"/>
                <w:szCs w:val="18"/>
              </w:rPr>
            </w:pPr>
            <w:r>
              <w:rPr>
                <w:rFonts w:eastAsiaTheme="minorEastAsia"/>
                <w:color w:val="000000"/>
                <w:sz w:val="18"/>
                <w:szCs w:val="18"/>
              </w:rPr>
              <w:t>总计</w:t>
            </w:r>
          </w:p>
        </w:tc>
        <w:tc>
          <w:tcPr>
            <w:tcW w:w="811" w:type="dxa"/>
          </w:tcPr>
          <w:p>
            <w:pPr>
              <w:jc w:val="center"/>
              <w:rPr>
                <w:rFonts w:hint="default" w:eastAsiaTheme="minorEastAsia"/>
                <w:b/>
                <w:color w:val="000000"/>
                <w:sz w:val="18"/>
                <w:szCs w:val="18"/>
                <w:lang w:val="en-US" w:eastAsia="zh-CN"/>
              </w:rPr>
            </w:pPr>
            <w:r>
              <w:rPr>
                <w:rFonts w:hint="eastAsia" w:eastAsiaTheme="minorEastAsia"/>
                <w:b/>
                <w:color w:val="000000"/>
                <w:sz w:val="18"/>
                <w:szCs w:val="18"/>
                <w:lang w:val="en-US" w:eastAsia="zh-CN"/>
              </w:rPr>
              <w:t>79</w:t>
            </w:r>
          </w:p>
        </w:tc>
        <w:tc>
          <w:tcPr>
            <w:tcW w:w="811" w:type="dxa"/>
          </w:tcPr>
          <w:p>
            <w:pPr>
              <w:jc w:val="center"/>
              <w:rPr>
                <w:rFonts w:hint="default"/>
                <w:b/>
                <w:sz w:val="18"/>
                <w:szCs w:val="18"/>
                <w:lang w:val="en-US"/>
              </w:rPr>
            </w:pPr>
            <w:r>
              <w:rPr>
                <w:rFonts w:hint="eastAsia"/>
                <w:b/>
                <w:sz w:val="18"/>
                <w:szCs w:val="18"/>
                <w:lang w:val="en-US" w:eastAsia="zh-CN"/>
              </w:rPr>
              <w:t>47</w:t>
            </w:r>
          </w:p>
        </w:tc>
        <w:tc>
          <w:tcPr>
            <w:tcW w:w="819" w:type="dxa"/>
          </w:tcPr>
          <w:p>
            <w:pPr>
              <w:jc w:val="center"/>
              <w:rPr>
                <w:b/>
                <w:sz w:val="18"/>
                <w:szCs w:val="18"/>
              </w:rPr>
            </w:pPr>
            <w:r>
              <w:rPr>
                <w:rFonts w:hint="eastAsia"/>
                <w:b/>
                <w:sz w:val="18"/>
                <w:szCs w:val="18"/>
                <w:lang w:val="en-US" w:eastAsia="zh-CN"/>
              </w:rPr>
              <w:t>23</w:t>
            </w:r>
          </w:p>
        </w:tc>
        <w:tc>
          <w:tcPr>
            <w:tcW w:w="811" w:type="dxa"/>
          </w:tcPr>
          <w:p>
            <w:pPr>
              <w:jc w:val="center"/>
              <w:rPr>
                <w:b/>
                <w:sz w:val="18"/>
                <w:szCs w:val="18"/>
              </w:rPr>
            </w:pPr>
            <w:r>
              <w:rPr>
                <w:b/>
                <w:sz w:val="18"/>
                <w:szCs w:val="18"/>
              </w:rPr>
              <w:t>3</w:t>
            </w:r>
          </w:p>
        </w:tc>
        <w:tc>
          <w:tcPr>
            <w:tcW w:w="1256" w:type="dxa"/>
          </w:tcPr>
          <w:p>
            <w:pPr>
              <w:jc w:val="center"/>
              <w:rPr>
                <w:b/>
                <w:sz w:val="18"/>
                <w:szCs w:val="18"/>
              </w:rPr>
            </w:pPr>
            <w:r>
              <w:rPr>
                <w:b/>
                <w:sz w:val="18"/>
                <w:szCs w:val="18"/>
              </w:rPr>
              <w:t>2</w:t>
            </w:r>
          </w:p>
        </w:tc>
        <w:tc>
          <w:tcPr>
            <w:tcW w:w="1100" w:type="dxa"/>
          </w:tcPr>
          <w:p>
            <w:pPr>
              <w:jc w:val="center"/>
              <w:rPr>
                <w:b/>
                <w:sz w:val="18"/>
                <w:szCs w:val="18"/>
              </w:rPr>
            </w:pPr>
            <w:r>
              <w:rPr>
                <w:b/>
                <w:sz w:val="18"/>
                <w:szCs w:val="18"/>
              </w:rPr>
              <w:t>3</w:t>
            </w:r>
          </w:p>
        </w:tc>
        <w:tc>
          <w:tcPr>
            <w:tcW w:w="975" w:type="dxa"/>
          </w:tcPr>
          <w:p>
            <w:pPr>
              <w:jc w:val="center"/>
              <w:rPr>
                <w:b/>
                <w:sz w:val="18"/>
                <w:szCs w:val="18"/>
              </w:rPr>
            </w:pPr>
            <w:r>
              <w:rPr>
                <w:rFonts w:hint="eastAsia"/>
                <w:b/>
                <w:sz w:val="18"/>
                <w:szCs w:val="18"/>
              </w:rPr>
              <w:t>1</w:t>
            </w:r>
          </w:p>
        </w:tc>
      </w:tr>
    </w:tbl>
    <w:p>
      <w:pPr>
        <w:spacing w:line="400" w:lineRule="exact"/>
        <w:ind w:firstLine="422" w:firstLineChars="200"/>
        <w:jc w:val="left"/>
        <w:rPr>
          <w:b/>
          <w:bCs/>
          <w:color w:val="000000"/>
          <w:kern w:val="0"/>
          <w:szCs w:val="21"/>
        </w:rPr>
      </w:pPr>
      <w:r>
        <w:rPr>
          <w:b/>
          <w:bCs/>
          <w:color w:val="000000"/>
          <w:kern w:val="0"/>
          <w:szCs w:val="21"/>
        </w:rPr>
        <w:t>（二）课程设置及学时安排</w:t>
      </w:r>
    </w:p>
    <w:p>
      <w:pPr>
        <w:spacing w:line="400" w:lineRule="exact"/>
        <w:ind w:firstLine="420" w:firstLineChars="200"/>
        <w:jc w:val="left"/>
        <w:rPr>
          <w:kern w:val="0"/>
          <w:szCs w:val="21"/>
        </w:rPr>
      </w:pPr>
      <w:r>
        <w:rPr>
          <w:kern w:val="0"/>
          <w:szCs w:val="21"/>
        </w:rPr>
        <w:t>见</w:t>
      </w:r>
      <w:r>
        <w:rPr>
          <w:rFonts w:hint="eastAsia"/>
          <w:kern w:val="0"/>
          <w:szCs w:val="21"/>
          <w:lang w:eastAsia="zh-CN"/>
        </w:rPr>
        <w:t>附件</w:t>
      </w:r>
      <w:r>
        <w:rPr>
          <w:kern w:val="0"/>
          <w:szCs w:val="21"/>
        </w:rPr>
        <w:t>：202</w:t>
      </w:r>
      <w:r>
        <w:rPr>
          <w:rFonts w:hint="eastAsia"/>
          <w:kern w:val="0"/>
          <w:szCs w:val="21"/>
          <w:lang w:val="en-US" w:eastAsia="zh-CN"/>
        </w:rPr>
        <w:t>4</w:t>
      </w:r>
      <w:r>
        <w:rPr>
          <w:kern w:val="0"/>
          <w:szCs w:val="21"/>
        </w:rPr>
        <w:t>级</w:t>
      </w:r>
      <w:r>
        <w:rPr>
          <w:rFonts w:hint="eastAsia"/>
          <w:kern w:val="0"/>
          <w:szCs w:val="21"/>
        </w:rPr>
        <w:t>现代物流管理（3</w:t>
      </w:r>
      <w:r>
        <w:rPr>
          <w:kern w:val="0"/>
          <w:szCs w:val="21"/>
        </w:rPr>
        <w:t>+2</w:t>
      </w:r>
      <w:r>
        <w:rPr>
          <w:rFonts w:hint="eastAsia"/>
          <w:kern w:val="0"/>
          <w:szCs w:val="21"/>
        </w:rPr>
        <w:t>）</w:t>
      </w:r>
      <w:r>
        <w:rPr>
          <w:kern w:val="0"/>
          <w:szCs w:val="21"/>
        </w:rPr>
        <w:t>专业</w:t>
      </w:r>
      <w:r>
        <w:rPr>
          <w:rFonts w:hint="eastAsia"/>
          <w:kern w:val="0"/>
          <w:szCs w:val="21"/>
        </w:rPr>
        <w:t>现代学徒制</w:t>
      </w:r>
      <w:r>
        <w:rPr>
          <w:kern w:val="0"/>
          <w:szCs w:val="21"/>
        </w:rPr>
        <w:t>课程设置及学时安排表</w:t>
      </w:r>
      <w:r>
        <w:rPr>
          <w:rFonts w:hint="eastAsia"/>
          <w:kern w:val="0"/>
          <w:szCs w:val="21"/>
        </w:rPr>
        <w:t>。</w:t>
      </w:r>
    </w:p>
    <w:p>
      <w:pPr>
        <w:spacing w:line="400" w:lineRule="exact"/>
        <w:ind w:firstLine="480" w:firstLineChars="200"/>
        <w:jc w:val="left"/>
        <w:outlineLvl w:val="1"/>
        <w:rPr>
          <w:rFonts w:hint="eastAsia" w:ascii="黑体" w:hAnsi="黑体" w:eastAsia="黑体" w:cs="黑体"/>
          <w:b w:val="0"/>
          <w:bCs w:val="0"/>
          <w:kern w:val="0"/>
          <w:sz w:val="24"/>
          <w:szCs w:val="24"/>
          <w:lang w:val="en-US" w:eastAsia="zh-CN"/>
        </w:rPr>
      </w:pPr>
      <w:r>
        <w:rPr>
          <w:rFonts w:hint="eastAsia" w:ascii="黑体" w:hAnsi="黑体" w:eastAsia="黑体" w:cs="黑体"/>
          <w:b w:val="0"/>
          <w:bCs w:val="0"/>
          <w:kern w:val="0"/>
          <w:sz w:val="24"/>
          <w:szCs w:val="24"/>
        </w:rPr>
        <w:t>八、师资队伍</w:t>
      </w:r>
      <w:r>
        <w:rPr>
          <w:rFonts w:hint="eastAsia" w:ascii="黑体" w:hAnsi="黑体" w:eastAsia="黑体" w:cs="黑体"/>
          <w:b w:val="0"/>
          <w:bCs w:val="0"/>
          <w:kern w:val="0"/>
          <w:sz w:val="24"/>
          <w:szCs w:val="24"/>
          <w:lang w:val="en-US" w:eastAsia="zh-CN"/>
        </w:rPr>
        <w:tab/>
      </w:r>
    </w:p>
    <w:p>
      <w:pPr>
        <w:spacing w:line="400" w:lineRule="exact"/>
        <w:ind w:firstLine="420" w:firstLineChars="200"/>
        <w:jc w:val="left"/>
        <w:rPr>
          <w:rFonts w:ascii="宋体" w:hAnsi="宋体" w:cs="仿宋"/>
          <w:color w:val="000000"/>
          <w:kern w:val="0"/>
          <w:szCs w:val="21"/>
        </w:rPr>
      </w:pPr>
      <w:r>
        <w:rPr>
          <w:rFonts w:hint="eastAsia" w:ascii="宋体" w:hAnsi="宋体" w:cs="仿宋"/>
          <w:color w:val="000000"/>
          <w:kern w:val="0"/>
          <w:szCs w:val="21"/>
        </w:rPr>
        <w:t>根据教育部2019年颁布的《高等职业学校现代物流管理专业教学标准》中要求，学生数与本专业专任教师比例不高于25:1，双师素质教师占专业教师比一般不低于60%。根据现代物流管理专业目前在校生人数和2021级新生招生计划，以350人专业学生规模来计算，专任教师数至少应为14人。兼职教师人数不少于专任教师人数的50%。</w:t>
      </w:r>
    </w:p>
    <w:p>
      <w:pPr>
        <w:spacing w:line="400" w:lineRule="exact"/>
        <w:ind w:firstLine="420" w:firstLineChars="200"/>
        <w:jc w:val="left"/>
        <w:rPr>
          <w:rFonts w:ascii="宋体" w:hAnsi="宋体" w:cs="仿宋"/>
          <w:color w:val="000000"/>
          <w:kern w:val="0"/>
          <w:szCs w:val="21"/>
        </w:rPr>
      </w:pPr>
      <w:r>
        <w:rPr>
          <w:rFonts w:hint="eastAsia" w:ascii="宋体" w:hAnsi="宋体" w:cs="仿宋"/>
          <w:color w:val="000000"/>
          <w:kern w:val="0"/>
          <w:szCs w:val="21"/>
        </w:rPr>
        <w:t>专任教师应有高校教师资格证，具有物流类本科或以上学历，其它相关专业需硕士或以上学历；具有扎实的现代物流管理理论功底和实践能力；具有较强的信息化教学能力，能够开展理论教学改革和科学研究；能独立完成一门课程的授课任务；具有整体课程设计能力和多种教学方法的能力。</w:t>
      </w:r>
    </w:p>
    <w:p>
      <w:pPr>
        <w:spacing w:line="400" w:lineRule="exact"/>
        <w:ind w:firstLine="420" w:firstLineChars="200"/>
        <w:jc w:val="left"/>
        <w:rPr>
          <w:rFonts w:ascii="宋体" w:hAnsi="宋体" w:cs="仿宋"/>
          <w:color w:val="000000"/>
          <w:kern w:val="0"/>
          <w:szCs w:val="21"/>
        </w:rPr>
      </w:pPr>
      <w:r>
        <w:rPr>
          <w:rFonts w:hint="eastAsia" w:ascii="宋体" w:hAnsi="宋体" w:cs="仿宋"/>
          <w:color w:val="000000"/>
          <w:kern w:val="0"/>
          <w:szCs w:val="21"/>
        </w:rPr>
        <w:t>兼职教师应具备良好的思想政治素质、职业道德和工匠精神，具有扎实的现代物流管理知识和丰富的实际工作经验，具有中级及以上相关专业技术资格；能承担专业课程教学、实习实训指导和学生职业发展规划指导等专业教学任务。</w:t>
      </w:r>
    </w:p>
    <w:p>
      <w:pPr>
        <w:spacing w:line="400" w:lineRule="exact"/>
        <w:ind w:firstLine="420" w:firstLineChars="200"/>
        <w:jc w:val="left"/>
        <w:rPr>
          <w:rFonts w:eastAsia="黑体"/>
          <w:color w:val="000000"/>
          <w:kern w:val="0"/>
          <w:szCs w:val="21"/>
        </w:rPr>
      </w:pPr>
      <w:r>
        <w:rPr>
          <w:rFonts w:hint="eastAsia" w:ascii="宋体" w:hAnsi="宋体" w:cs="仿宋"/>
          <w:color w:val="000000"/>
          <w:kern w:val="0"/>
          <w:szCs w:val="21"/>
        </w:rPr>
        <w:t>现代物流管理专业现有全职专任教师11名，高级职称4名，博士3人，双师素质达到100%；校内兼课教师4名，企业兼职教师16名。</w:t>
      </w:r>
    </w:p>
    <w:p>
      <w:pPr>
        <w:spacing w:line="400" w:lineRule="exact"/>
        <w:ind w:firstLine="480" w:firstLineChars="200"/>
        <w:jc w:val="left"/>
        <w:outlineLvl w:val="1"/>
        <w:rPr>
          <w:rFonts w:hint="eastAsia" w:ascii="黑体" w:hAnsi="黑体" w:eastAsia="黑体" w:cs="黑体"/>
          <w:b w:val="0"/>
          <w:bCs w:val="0"/>
          <w:kern w:val="0"/>
          <w:sz w:val="24"/>
          <w:szCs w:val="24"/>
        </w:rPr>
      </w:pPr>
      <w:r>
        <w:rPr>
          <w:rFonts w:hint="eastAsia" w:ascii="黑体" w:hAnsi="黑体" w:eastAsia="黑体" w:cs="黑体"/>
          <w:b w:val="0"/>
          <w:bCs w:val="0"/>
          <w:kern w:val="0"/>
          <w:sz w:val="24"/>
          <w:szCs w:val="24"/>
        </w:rPr>
        <w:t>九、教学条件</w:t>
      </w:r>
    </w:p>
    <w:p>
      <w:pPr>
        <w:spacing w:line="400" w:lineRule="exact"/>
        <w:ind w:firstLine="422" w:firstLineChars="200"/>
        <w:jc w:val="left"/>
        <w:rPr>
          <w:b/>
          <w:bCs/>
          <w:color w:val="000000"/>
          <w:kern w:val="0"/>
          <w:szCs w:val="21"/>
        </w:rPr>
      </w:pPr>
      <w:r>
        <w:rPr>
          <w:b/>
          <w:bCs/>
          <w:color w:val="000000"/>
          <w:kern w:val="0"/>
          <w:szCs w:val="21"/>
        </w:rPr>
        <w:t>（一）教学设施配置标准</w:t>
      </w:r>
    </w:p>
    <w:p>
      <w:pPr>
        <w:spacing w:line="400" w:lineRule="exact"/>
        <w:ind w:firstLine="420" w:firstLineChars="200"/>
        <w:jc w:val="left"/>
        <w:rPr>
          <w:rFonts w:ascii="宋体" w:hAnsi="宋体" w:cs="仿宋"/>
          <w:color w:val="000000"/>
          <w:kern w:val="0"/>
          <w:szCs w:val="21"/>
        </w:rPr>
      </w:pPr>
      <w:r>
        <w:rPr>
          <w:rFonts w:hint="eastAsia" w:ascii="宋体" w:hAnsi="宋体" w:cs="仿宋"/>
          <w:color w:val="000000"/>
          <w:kern w:val="0"/>
          <w:szCs w:val="21"/>
        </w:rPr>
        <w:t>1.校内实训基地</w:t>
      </w:r>
    </w:p>
    <w:p>
      <w:pPr>
        <w:spacing w:line="400" w:lineRule="exact"/>
        <w:ind w:firstLine="420" w:firstLineChars="200"/>
        <w:jc w:val="left"/>
        <w:rPr>
          <w:rFonts w:ascii="宋体" w:hAnsi="宋体" w:cs="仿宋"/>
          <w:color w:val="000000"/>
          <w:kern w:val="0"/>
          <w:szCs w:val="21"/>
        </w:rPr>
      </w:pPr>
      <w:r>
        <w:rPr>
          <w:rFonts w:hint="eastAsia" w:ascii="宋体" w:hAnsi="宋体" w:cs="仿宋"/>
          <w:color w:val="000000"/>
          <w:kern w:val="0"/>
          <w:szCs w:val="21"/>
        </w:rPr>
        <w:t>本专业拥有近3000平方米的校内现代物流实训基地，基地内有立体库存储区、阁楼货架分拣区，重型货架分拣区以及物流文化实验室、物流信息处理实验室、精益生产物流实训室等，完全能满足专业实训教学要求。</w:t>
      </w:r>
    </w:p>
    <w:p>
      <w:pPr>
        <w:spacing w:line="400" w:lineRule="exact"/>
        <w:ind w:firstLine="420" w:firstLineChars="200"/>
        <w:jc w:val="left"/>
        <w:rPr>
          <w:rFonts w:ascii="宋体" w:hAnsi="宋体" w:cs="仿宋"/>
          <w:color w:val="000000"/>
          <w:kern w:val="0"/>
          <w:szCs w:val="21"/>
        </w:rPr>
      </w:pPr>
      <w:r>
        <w:rPr>
          <w:rFonts w:hint="eastAsia" w:ascii="宋体" w:hAnsi="宋体" w:cs="仿宋"/>
          <w:color w:val="000000"/>
          <w:kern w:val="0"/>
          <w:szCs w:val="21"/>
        </w:rPr>
        <w:t>2.校外实训基地</w:t>
      </w:r>
    </w:p>
    <w:p>
      <w:pPr>
        <w:spacing w:line="400" w:lineRule="exact"/>
        <w:ind w:firstLine="420" w:firstLineChars="200"/>
        <w:jc w:val="left"/>
        <w:rPr>
          <w:rFonts w:ascii="宋体" w:hAnsi="宋体" w:cs="仿宋"/>
          <w:color w:val="000000"/>
          <w:kern w:val="0"/>
          <w:szCs w:val="21"/>
        </w:rPr>
      </w:pPr>
      <w:r>
        <w:rPr>
          <w:rFonts w:hint="eastAsia" w:ascii="宋体" w:hAnsi="宋体" w:cs="仿宋"/>
          <w:color w:val="000000"/>
          <w:kern w:val="0"/>
          <w:szCs w:val="21"/>
        </w:rPr>
        <w:t>本专业校外建有广州飞梭云供应链管理公司湖州分公司实训基地、唯品会华东运营总部实训基地、湖州祥瑞物流中心实训基地、湖州邮政实训基地等7个校外实训基地，完全能满足学生专业实习实训教学要求。</w:t>
      </w:r>
    </w:p>
    <w:p>
      <w:pPr>
        <w:spacing w:line="400" w:lineRule="exact"/>
        <w:ind w:firstLine="422" w:firstLineChars="200"/>
        <w:jc w:val="left"/>
        <w:rPr>
          <w:b/>
          <w:bCs/>
          <w:color w:val="000000"/>
          <w:kern w:val="0"/>
          <w:szCs w:val="21"/>
        </w:rPr>
      </w:pPr>
      <w:r>
        <w:rPr>
          <w:b/>
          <w:bCs/>
          <w:color w:val="000000"/>
          <w:kern w:val="0"/>
          <w:szCs w:val="21"/>
        </w:rPr>
        <w:t>（二）教学资源配置标准</w:t>
      </w:r>
    </w:p>
    <w:p>
      <w:pPr>
        <w:spacing w:line="400" w:lineRule="exact"/>
        <w:ind w:firstLine="420" w:firstLineChars="200"/>
        <w:jc w:val="left"/>
        <w:rPr>
          <w:rFonts w:ascii="宋体" w:hAnsi="宋体" w:cs="仿宋"/>
          <w:color w:val="000000"/>
          <w:kern w:val="0"/>
          <w:szCs w:val="21"/>
        </w:rPr>
      </w:pPr>
      <w:r>
        <w:rPr>
          <w:rFonts w:hint="eastAsia" w:ascii="宋体" w:hAnsi="宋体" w:cs="仿宋"/>
          <w:color w:val="000000"/>
          <w:kern w:val="0"/>
          <w:szCs w:val="21"/>
        </w:rPr>
        <w:t>1.教材选用</w:t>
      </w:r>
    </w:p>
    <w:p>
      <w:pPr>
        <w:spacing w:line="400" w:lineRule="exact"/>
        <w:ind w:firstLine="420" w:firstLineChars="200"/>
        <w:jc w:val="left"/>
        <w:rPr>
          <w:rFonts w:ascii="宋体" w:hAnsi="宋体" w:cs="仿宋"/>
          <w:color w:val="000000"/>
          <w:kern w:val="0"/>
          <w:szCs w:val="21"/>
        </w:rPr>
      </w:pPr>
      <w:r>
        <w:rPr>
          <w:rFonts w:hint="eastAsia" w:ascii="宋体" w:hAnsi="宋体" w:cs="仿宋"/>
          <w:color w:val="000000"/>
          <w:kern w:val="0"/>
          <w:szCs w:val="21"/>
        </w:rPr>
        <w:t>本专业教材选用严格按照《湖州职业技术学院教材建设、选用与管理办法》文件规定执行，思政课全部采用国家“马”工程教材和国家规划教材。公共基础课和专业核心课程从国家和省级教育行政部门发布的规划教材目录中选用，其他课程优先选用国家规划教材或省重点教材。</w:t>
      </w:r>
    </w:p>
    <w:p>
      <w:pPr>
        <w:spacing w:line="400" w:lineRule="exact"/>
        <w:ind w:firstLine="420" w:firstLineChars="200"/>
        <w:jc w:val="left"/>
        <w:rPr>
          <w:rFonts w:ascii="宋体" w:hAnsi="宋体" w:cs="仿宋"/>
          <w:color w:val="000000"/>
          <w:kern w:val="0"/>
          <w:szCs w:val="21"/>
        </w:rPr>
      </w:pPr>
      <w:r>
        <w:rPr>
          <w:rFonts w:hint="eastAsia" w:ascii="宋体" w:hAnsi="宋体" w:cs="仿宋"/>
          <w:color w:val="000000"/>
          <w:kern w:val="0"/>
          <w:szCs w:val="21"/>
        </w:rPr>
        <w:t>2.图书文献资源</w:t>
      </w:r>
    </w:p>
    <w:p>
      <w:pPr>
        <w:spacing w:line="400" w:lineRule="exact"/>
        <w:ind w:firstLine="420" w:firstLineChars="200"/>
        <w:jc w:val="left"/>
        <w:rPr>
          <w:rFonts w:ascii="宋体" w:hAnsi="宋体" w:cs="仿宋"/>
          <w:color w:val="000000"/>
          <w:kern w:val="0"/>
          <w:szCs w:val="21"/>
        </w:rPr>
      </w:pPr>
      <w:r>
        <w:rPr>
          <w:rFonts w:hint="eastAsia" w:ascii="宋体" w:hAnsi="宋体" w:cs="仿宋"/>
          <w:color w:val="000000"/>
          <w:kern w:val="0"/>
          <w:szCs w:val="21"/>
        </w:rPr>
        <w:t>学校图书馆除有大量藏书和文献资料，还配备有中国知网、超星移动图书馆、新东方多媒体学习库、博学易知数据库、京东读书电子书阅览室等服务平台，能满足学生全面培养、教科研工作、专业建设等的需要，方便师生借阅、查询。</w:t>
      </w:r>
    </w:p>
    <w:p>
      <w:pPr>
        <w:spacing w:line="400" w:lineRule="exact"/>
        <w:ind w:firstLine="420" w:firstLineChars="200"/>
        <w:jc w:val="left"/>
        <w:rPr>
          <w:rFonts w:ascii="宋体" w:hAnsi="宋体" w:cs="仿宋"/>
          <w:color w:val="000000"/>
          <w:kern w:val="0"/>
          <w:szCs w:val="21"/>
        </w:rPr>
      </w:pPr>
      <w:r>
        <w:rPr>
          <w:rFonts w:hint="eastAsia" w:ascii="宋体" w:hAnsi="宋体" w:cs="仿宋"/>
          <w:color w:val="000000"/>
          <w:kern w:val="0"/>
          <w:szCs w:val="21"/>
        </w:rPr>
        <w:t>3.数字资源</w:t>
      </w:r>
    </w:p>
    <w:p>
      <w:pPr>
        <w:spacing w:line="400" w:lineRule="exact"/>
        <w:ind w:firstLine="420" w:firstLineChars="200"/>
        <w:jc w:val="left"/>
        <w:rPr>
          <w:rFonts w:ascii="宋体" w:hAnsi="宋体" w:cs="仿宋"/>
          <w:color w:val="000000"/>
          <w:kern w:val="0"/>
          <w:szCs w:val="21"/>
        </w:rPr>
      </w:pPr>
      <w:r>
        <w:rPr>
          <w:rFonts w:hint="eastAsia" w:ascii="宋体" w:hAnsi="宋体" w:cs="仿宋"/>
          <w:color w:val="000000"/>
          <w:kern w:val="0"/>
          <w:szCs w:val="21"/>
        </w:rPr>
        <w:t>学校现有410余门网络课程供教师和学生使用（其中自建在线开放课程学习平台拥有课程100余门，在第三方在线平台建有110余门网络课程，购买第三方网络课程200余门）。</w:t>
      </w:r>
    </w:p>
    <w:p>
      <w:pPr>
        <w:spacing w:line="400" w:lineRule="exact"/>
        <w:ind w:firstLine="422" w:firstLineChars="200"/>
        <w:jc w:val="left"/>
        <w:rPr>
          <w:b/>
          <w:bCs/>
          <w:color w:val="000000"/>
          <w:kern w:val="0"/>
          <w:szCs w:val="21"/>
        </w:rPr>
      </w:pPr>
      <w:r>
        <w:rPr>
          <w:b/>
          <w:bCs/>
          <w:color w:val="000000"/>
          <w:kern w:val="0"/>
          <w:szCs w:val="21"/>
        </w:rPr>
        <w:t>（三）教学方法、手段与教学组织形式</w:t>
      </w:r>
    </w:p>
    <w:p>
      <w:pPr>
        <w:spacing w:line="400" w:lineRule="exact"/>
        <w:ind w:firstLine="420" w:firstLineChars="200"/>
        <w:jc w:val="left"/>
        <w:rPr>
          <w:rFonts w:ascii="宋体" w:hAnsi="宋体" w:cs="仿宋"/>
          <w:color w:val="000000"/>
          <w:kern w:val="0"/>
          <w:szCs w:val="21"/>
        </w:rPr>
      </w:pPr>
      <w:r>
        <w:rPr>
          <w:rFonts w:hint="eastAsia" w:ascii="宋体" w:hAnsi="宋体" w:cs="仿宋"/>
          <w:color w:val="000000"/>
          <w:kern w:val="0"/>
          <w:szCs w:val="21"/>
        </w:rPr>
        <w:t>依据专业培养目标、课程教学要求，结合课程教学目标和课程特点以及有关学情和教学资源，选择适合的最优化教学法。综合考虑教学效果和教学可操作性等因素，多数课程内容采用讲授法、混合教学法、分组讨论法、案例教学法、任务教学法、现场教学法等多种形式。坚持学中做、做中学，倡导因材施教、因需施教，鼓励创新教学方法和策略。根据内容特点和学生特点，以学生为主体，合理选择各种教学方法，教师起引导作用。在教学组织上充分利用校内理实一体化教室、多媒体网络教学条件和校内外实训基地的资源，采用问题教学、案例教学、任务驱动教学、情境教学、单项操作训练和综合能力考核等方法提高学生的职业能力。学校鼓励信息技术在教育教学中的应用，通过改进教学方式，达成预期教学目标。</w:t>
      </w:r>
    </w:p>
    <w:p>
      <w:pPr>
        <w:spacing w:line="400" w:lineRule="exact"/>
        <w:ind w:firstLine="422" w:firstLineChars="200"/>
        <w:jc w:val="left"/>
        <w:rPr>
          <w:rFonts w:asciiTheme="minorEastAsia" w:hAnsiTheme="minorEastAsia" w:eastAsiaTheme="minorEastAsia" w:cstheme="minorEastAsia"/>
          <w:b/>
          <w:bCs/>
          <w:color w:val="000000"/>
          <w:kern w:val="0"/>
          <w:szCs w:val="21"/>
        </w:rPr>
      </w:pPr>
      <w:r>
        <w:rPr>
          <w:rFonts w:hint="eastAsia" w:asciiTheme="minorEastAsia" w:hAnsiTheme="minorEastAsia" w:eastAsiaTheme="minorEastAsia" w:cstheme="minorEastAsia"/>
          <w:b/>
          <w:bCs/>
          <w:color w:val="000000"/>
          <w:kern w:val="0"/>
          <w:szCs w:val="21"/>
        </w:rPr>
        <w:t>（四）学习评价</w:t>
      </w:r>
    </w:p>
    <w:p>
      <w:pPr>
        <w:spacing w:line="400" w:lineRule="exact"/>
        <w:ind w:firstLine="420" w:firstLineChars="200"/>
        <w:jc w:val="left"/>
        <w:rPr>
          <w:rFonts w:ascii="宋体" w:hAnsi="宋体" w:cs="仿宋"/>
          <w:color w:val="000000"/>
          <w:kern w:val="0"/>
          <w:szCs w:val="21"/>
        </w:rPr>
      </w:pPr>
      <w:r>
        <w:rPr>
          <w:rFonts w:hint="eastAsia" w:ascii="宋体" w:hAnsi="宋体" w:cs="仿宋"/>
          <w:color w:val="000000"/>
          <w:kern w:val="0"/>
          <w:szCs w:val="21"/>
        </w:rPr>
        <w:t>学校改革和完善教学评价标准和方法，强调教学过程的质量监控。对教师评价，采取课前注意教学资料检查评价；课中注重教师、督导随堂听课评价；课后注重学生评教评价，确保教学质量。</w:t>
      </w:r>
    </w:p>
    <w:p>
      <w:pPr>
        <w:spacing w:line="400" w:lineRule="exact"/>
        <w:ind w:firstLine="420" w:firstLineChars="200"/>
        <w:jc w:val="left"/>
        <w:rPr>
          <w:rFonts w:ascii="宋体" w:hAnsi="宋体" w:cs="仿宋"/>
          <w:color w:val="000000"/>
          <w:kern w:val="0"/>
          <w:szCs w:val="21"/>
        </w:rPr>
      </w:pPr>
      <w:r>
        <w:rPr>
          <w:rFonts w:hint="eastAsia" w:ascii="宋体" w:hAnsi="宋体" w:cs="仿宋"/>
          <w:color w:val="000000"/>
          <w:kern w:val="0"/>
          <w:szCs w:val="21"/>
        </w:rPr>
        <w:t>对学生评价，兼顾认知、技能、情感等方面，采取观察、口试、笔试、技能操作、职业技能竞赛、职业资格考试及鉴定等评价方式，建立多元化考核、评价方式。考核采用平时考核加期末考试相结合的方式，平时成绩和期末考查成绩均以百分制计算。</w:t>
      </w:r>
    </w:p>
    <w:p>
      <w:pPr>
        <w:spacing w:line="400" w:lineRule="exact"/>
        <w:ind w:firstLine="422" w:firstLineChars="200"/>
        <w:jc w:val="left"/>
        <w:rPr>
          <w:rFonts w:asciiTheme="minorEastAsia" w:hAnsiTheme="minorEastAsia" w:eastAsiaTheme="minorEastAsia" w:cstheme="minorEastAsia"/>
          <w:b/>
          <w:bCs/>
          <w:color w:val="000000"/>
          <w:kern w:val="0"/>
          <w:szCs w:val="21"/>
        </w:rPr>
      </w:pPr>
      <w:r>
        <w:rPr>
          <w:rFonts w:hint="eastAsia" w:asciiTheme="minorEastAsia" w:hAnsiTheme="minorEastAsia" w:eastAsiaTheme="minorEastAsia" w:cstheme="minorEastAsia"/>
          <w:b/>
          <w:bCs/>
          <w:color w:val="000000"/>
          <w:kern w:val="0"/>
          <w:szCs w:val="21"/>
        </w:rPr>
        <w:t>（五）教学管理与质量保障体系</w:t>
      </w:r>
    </w:p>
    <w:p>
      <w:pPr>
        <w:pStyle w:val="2"/>
        <w:spacing w:line="400" w:lineRule="exact"/>
        <w:ind w:firstLine="420" w:firstLineChars="200"/>
        <w:rPr>
          <w:szCs w:val="21"/>
        </w:rPr>
      </w:pPr>
      <w:r>
        <w:rPr>
          <w:szCs w:val="21"/>
        </w:rPr>
        <w:t>1.</w:t>
      </w:r>
      <w:r>
        <w:rPr>
          <w:rFonts w:hint="eastAsia"/>
          <w:szCs w:val="21"/>
        </w:rPr>
        <w:t>成立了教育教学管理与质量监控体系</w:t>
      </w:r>
    </w:p>
    <w:p>
      <w:pPr>
        <w:pStyle w:val="2"/>
        <w:spacing w:line="400" w:lineRule="exact"/>
        <w:ind w:firstLine="420" w:firstLineChars="200"/>
        <w:rPr>
          <w:szCs w:val="21"/>
        </w:rPr>
      </w:pPr>
      <w:r>
        <w:rPr>
          <w:rFonts w:hint="eastAsia"/>
          <w:szCs w:val="21"/>
        </w:rPr>
        <w:t>成立了由</w:t>
      </w:r>
      <w:r>
        <w:rPr>
          <w:rFonts w:hint="eastAsia"/>
          <w:szCs w:val="21"/>
          <w:lang w:eastAsia="zh-CN"/>
        </w:rPr>
        <w:t>经济管理与电商</w:t>
      </w:r>
      <w:r>
        <w:rPr>
          <w:rFonts w:hint="eastAsia"/>
          <w:szCs w:val="21"/>
        </w:rPr>
        <w:t>学院分管教学院长为组长的教学质量监控小组，在学校教学质量监控体系的框架下，建立符合现代物流管理专业实际的教学质量监控办法，对专业建设和教学工作实施全过程质量监控，确保人才培养质量的稳步提高。</w:t>
      </w:r>
    </w:p>
    <w:p>
      <w:pPr>
        <w:pStyle w:val="2"/>
        <w:spacing w:line="400" w:lineRule="exact"/>
        <w:ind w:firstLine="420" w:firstLineChars="200"/>
        <w:rPr>
          <w:szCs w:val="21"/>
        </w:rPr>
      </w:pPr>
      <w:r>
        <w:rPr>
          <w:rFonts w:hint="eastAsia"/>
          <w:szCs w:val="21"/>
        </w:rPr>
        <w:t>2.加强质量管理制度建设</w:t>
      </w:r>
    </w:p>
    <w:p>
      <w:pPr>
        <w:pStyle w:val="2"/>
        <w:spacing w:line="400" w:lineRule="exact"/>
        <w:ind w:firstLine="420" w:firstLineChars="200"/>
        <w:rPr>
          <w:szCs w:val="21"/>
        </w:rPr>
      </w:pPr>
      <w:r>
        <w:rPr>
          <w:rFonts w:hint="eastAsia"/>
          <w:szCs w:val="21"/>
        </w:rPr>
        <w:t>根据学校确定的教学标准，从教学内容选择、课程教学方案设定、教辅资料编写，到实验实训、成绩考核等各个教学环节，严格把握质量标准和工作规范，通过质量监测和评价的循环，确保教学质量稳步提升。</w:t>
      </w:r>
    </w:p>
    <w:p>
      <w:pPr>
        <w:spacing w:line="400" w:lineRule="exact"/>
        <w:ind w:firstLine="420" w:firstLineChars="200"/>
        <w:rPr>
          <w:rFonts w:ascii="宋体" w:hAnsi="宋体" w:cs="仿宋"/>
          <w:color w:val="000000"/>
          <w:kern w:val="0"/>
          <w:szCs w:val="21"/>
        </w:rPr>
      </w:pPr>
      <w:r>
        <w:rPr>
          <w:rFonts w:hint="eastAsia" w:ascii="宋体" w:hAnsi="宋体" w:cs="仿宋"/>
          <w:color w:val="000000"/>
          <w:kern w:val="0"/>
          <w:szCs w:val="21"/>
        </w:rPr>
        <w:t>3.实践教学基地的质量检测</w:t>
      </w:r>
    </w:p>
    <w:p>
      <w:pPr>
        <w:spacing w:line="400" w:lineRule="exact"/>
        <w:ind w:firstLine="420" w:firstLineChars="200"/>
        <w:jc w:val="left"/>
        <w:rPr>
          <w:rFonts w:ascii="宋体" w:hAnsi="宋体" w:cs="仿宋"/>
          <w:color w:val="000000"/>
          <w:kern w:val="0"/>
          <w:szCs w:val="21"/>
        </w:rPr>
      </w:pPr>
      <w:r>
        <w:rPr>
          <w:rFonts w:hint="eastAsia" w:ascii="宋体" w:hAnsi="宋体" w:cs="仿宋"/>
          <w:color w:val="000000"/>
          <w:kern w:val="0"/>
          <w:szCs w:val="21"/>
        </w:rPr>
        <w:t>为保证实践教学基地的正常运行和规范提高，进一步完善实践教学基地评价系统，建立定期对实践教学基地运行评价的制度，建立实践教学基地正常进入、退出机制，保证实践教学基地能满足认知见习、课程实训、综合实训、毕业实习人才培养的需求，确保实践教学质量稳步提高。</w:t>
      </w:r>
    </w:p>
    <w:p>
      <w:pPr>
        <w:spacing w:line="400" w:lineRule="exact"/>
        <w:ind w:firstLine="480" w:firstLineChars="200"/>
        <w:jc w:val="left"/>
        <w:outlineLvl w:val="1"/>
        <w:rPr>
          <w:rFonts w:hint="eastAsia" w:ascii="黑体" w:hAnsi="黑体" w:eastAsia="黑体" w:cs="黑体"/>
          <w:b w:val="0"/>
          <w:bCs w:val="0"/>
          <w:kern w:val="0"/>
          <w:sz w:val="24"/>
          <w:szCs w:val="24"/>
        </w:rPr>
      </w:pPr>
      <w:r>
        <w:rPr>
          <w:rFonts w:hint="eastAsia" w:ascii="黑体" w:hAnsi="黑体" w:eastAsia="黑体" w:cs="黑体"/>
          <w:b w:val="0"/>
          <w:bCs w:val="0"/>
          <w:kern w:val="0"/>
          <w:sz w:val="24"/>
          <w:szCs w:val="24"/>
        </w:rPr>
        <w:t>十、毕业要求</w:t>
      </w:r>
    </w:p>
    <w:p>
      <w:pPr>
        <w:spacing w:line="400" w:lineRule="exact"/>
        <w:ind w:firstLine="420" w:firstLineChars="200"/>
        <w:jc w:val="left"/>
        <w:rPr>
          <w:kern w:val="0"/>
          <w:szCs w:val="21"/>
        </w:rPr>
      </w:pPr>
      <w:r>
        <w:rPr>
          <w:kern w:val="0"/>
          <w:szCs w:val="21"/>
        </w:rPr>
        <w:t>1.学生应获得</w:t>
      </w:r>
      <w:r>
        <w:rPr>
          <w:rFonts w:hint="eastAsia"/>
          <w:kern w:val="0"/>
          <w:szCs w:val="21"/>
          <w:lang w:val="en-US" w:eastAsia="zh-CN"/>
        </w:rPr>
        <w:t>92</w:t>
      </w:r>
      <w:r>
        <w:rPr>
          <w:kern w:val="0"/>
          <w:szCs w:val="21"/>
        </w:rPr>
        <w:t>学分方能毕业，其中：必修课</w:t>
      </w:r>
      <w:r>
        <w:rPr>
          <w:rFonts w:hint="eastAsia"/>
          <w:kern w:val="0"/>
          <w:szCs w:val="21"/>
          <w:lang w:val="en-US" w:eastAsia="zh-CN"/>
        </w:rPr>
        <w:t>37</w:t>
      </w:r>
      <w:r>
        <w:rPr>
          <w:kern w:val="0"/>
          <w:szCs w:val="21"/>
        </w:rPr>
        <w:t>学分、限定选修课</w:t>
      </w:r>
      <w:r>
        <w:rPr>
          <w:rFonts w:hint="eastAsia"/>
          <w:kern w:val="0"/>
          <w:szCs w:val="21"/>
          <w:lang w:val="en-US" w:eastAsia="zh-CN"/>
        </w:rPr>
        <w:t>1</w:t>
      </w:r>
      <w:r>
        <w:rPr>
          <w:kern w:val="0"/>
          <w:szCs w:val="21"/>
        </w:rPr>
        <w:t>6学分、任选课</w:t>
      </w:r>
      <w:r>
        <w:rPr>
          <w:rFonts w:hint="eastAsia"/>
          <w:kern w:val="0"/>
          <w:szCs w:val="21"/>
        </w:rPr>
        <w:t>1</w:t>
      </w:r>
      <w:r>
        <w:rPr>
          <w:rFonts w:hint="eastAsia"/>
          <w:kern w:val="0"/>
          <w:szCs w:val="21"/>
          <w:lang w:val="en-US" w:eastAsia="zh-CN"/>
        </w:rPr>
        <w:t>7</w:t>
      </w:r>
      <w:r>
        <w:rPr>
          <w:kern w:val="0"/>
          <w:szCs w:val="21"/>
        </w:rPr>
        <w:t>学分、综合实践2</w:t>
      </w:r>
      <w:r>
        <w:rPr>
          <w:rFonts w:hint="eastAsia"/>
          <w:kern w:val="0"/>
          <w:szCs w:val="21"/>
          <w:lang w:val="en-US" w:eastAsia="zh-CN"/>
        </w:rPr>
        <w:t>2</w:t>
      </w:r>
      <w:r>
        <w:rPr>
          <w:kern w:val="0"/>
          <w:szCs w:val="21"/>
        </w:rPr>
        <w:t>学分。</w:t>
      </w:r>
    </w:p>
    <w:p>
      <w:pPr>
        <w:spacing w:line="400" w:lineRule="exact"/>
        <w:ind w:firstLine="420" w:firstLineChars="200"/>
        <w:jc w:val="left"/>
        <w:rPr>
          <w:kern w:val="0"/>
          <w:szCs w:val="21"/>
        </w:rPr>
      </w:pPr>
      <w:r>
        <w:rPr>
          <w:kern w:val="0"/>
          <w:szCs w:val="21"/>
        </w:rPr>
        <w:t>2.国家体质健康测试达标。</w:t>
      </w:r>
    </w:p>
    <w:p>
      <w:pPr>
        <w:spacing w:line="400" w:lineRule="exact"/>
        <w:ind w:firstLine="420" w:firstLineChars="200"/>
        <w:jc w:val="left"/>
        <w:rPr>
          <w:kern w:val="0"/>
          <w:szCs w:val="21"/>
        </w:rPr>
      </w:pPr>
      <w:r>
        <w:rPr>
          <w:kern w:val="0"/>
          <w:szCs w:val="21"/>
        </w:rPr>
        <w:t>3.第二课堂学分达4分以上。</w:t>
      </w:r>
    </w:p>
    <w:p>
      <w:pPr>
        <w:spacing w:line="400" w:lineRule="exact"/>
        <w:ind w:firstLine="480" w:firstLineChars="200"/>
        <w:jc w:val="left"/>
        <w:outlineLvl w:val="1"/>
        <w:rPr>
          <w:rFonts w:hint="eastAsia" w:ascii="黑体" w:hAnsi="黑体" w:eastAsia="黑体" w:cs="黑体"/>
          <w:b w:val="0"/>
          <w:bCs w:val="0"/>
          <w:kern w:val="0"/>
          <w:sz w:val="24"/>
          <w:szCs w:val="24"/>
        </w:rPr>
      </w:pPr>
      <w:r>
        <w:rPr>
          <w:rFonts w:hint="eastAsia" w:ascii="黑体" w:hAnsi="黑体" w:eastAsia="黑体" w:cs="黑体"/>
          <w:b w:val="0"/>
          <w:bCs w:val="0"/>
          <w:kern w:val="0"/>
          <w:sz w:val="24"/>
          <w:szCs w:val="24"/>
        </w:rPr>
        <w:t>十一、学习期间证书获取建议</w:t>
      </w:r>
    </w:p>
    <w:p>
      <w:pPr>
        <w:spacing w:line="400" w:lineRule="exact"/>
        <w:ind w:firstLine="420" w:firstLineChars="200"/>
        <w:jc w:val="left"/>
        <w:rPr>
          <w:color w:val="000000"/>
          <w:kern w:val="0"/>
          <w:szCs w:val="21"/>
        </w:rPr>
      </w:pPr>
      <w:r>
        <w:rPr>
          <w:color w:val="000000"/>
          <w:kern w:val="0"/>
          <w:szCs w:val="21"/>
        </w:rPr>
        <w:t>1.根据专升本等需要，建议参加英语等级证书和计算机等级证书的考试。</w:t>
      </w:r>
    </w:p>
    <w:p>
      <w:pPr>
        <w:spacing w:line="400" w:lineRule="exact"/>
        <w:ind w:firstLine="420" w:firstLineChars="200"/>
        <w:jc w:val="left"/>
        <w:rPr>
          <w:color w:val="000000"/>
          <w:kern w:val="0"/>
          <w:szCs w:val="21"/>
        </w:rPr>
      </w:pPr>
      <w:r>
        <w:rPr>
          <w:color w:val="000000"/>
          <w:kern w:val="0"/>
          <w:szCs w:val="21"/>
        </w:rPr>
        <w:t>2.建议考取以下职业技能等级证书增强职业竞争力。</w:t>
      </w:r>
    </w:p>
    <w:p>
      <w:pPr>
        <w:pStyle w:val="2"/>
        <w:ind w:firstLine="361" w:firstLineChars="200"/>
        <w:jc w:val="center"/>
        <w:rPr>
          <w:rFonts w:eastAsiaTheme="minorEastAsia"/>
          <w:b/>
          <w:bCs/>
          <w:color w:val="000000"/>
          <w:kern w:val="0"/>
          <w:sz w:val="18"/>
          <w:szCs w:val="18"/>
        </w:rPr>
      </w:pPr>
      <w:r>
        <w:rPr>
          <w:rFonts w:eastAsiaTheme="minorEastAsia"/>
          <w:b/>
          <w:bCs/>
          <w:color w:val="000000"/>
          <w:kern w:val="0"/>
          <w:sz w:val="18"/>
          <w:szCs w:val="18"/>
        </w:rPr>
        <w:t>表12 专业职业资格/技能证书一览表</w:t>
      </w:r>
    </w:p>
    <w:tbl>
      <w:tblPr>
        <w:tblStyle w:val="13"/>
        <w:tblW w:w="0" w:type="auto"/>
        <w:tblInd w:w="9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32"/>
        <w:gridCol w:w="2822"/>
        <w:gridCol w:w="860"/>
        <w:gridCol w:w="2564"/>
        <w:gridCol w:w="12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32" w:type="dxa"/>
            <w:shd w:val="clear" w:color="auto" w:fill="F1F1F1" w:themeFill="background1" w:themeFillShade="F2"/>
          </w:tcPr>
          <w:p>
            <w:pPr>
              <w:jc w:val="center"/>
              <w:rPr>
                <w:color w:val="000000"/>
                <w:sz w:val="18"/>
                <w:szCs w:val="18"/>
              </w:rPr>
            </w:pPr>
            <w:r>
              <w:rPr>
                <w:color w:val="000000"/>
                <w:sz w:val="18"/>
                <w:szCs w:val="18"/>
              </w:rPr>
              <w:t>序号</w:t>
            </w:r>
          </w:p>
        </w:tc>
        <w:tc>
          <w:tcPr>
            <w:tcW w:w="2822" w:type="dxa"/>
            <w:shd w:val="clear" w:color="auto" w:fill="F1F1F1" w:themeFill="background1" w:themeFillShade="F2"/>
          </w:tcPr>
          <w:p>
            <w:pPr>
              <w:jc w:val="center"/>
              <w:rPr>
                <w:color w:val="000000"/>
                <w:sz w:val="18"/>
                <w:szCs w:val="18"/>
              </w:rPr>
            </w:pPr>
            <w:r>
              <w:rPr>
                <w:color w:val="000000"/>
                <w:sz w:val="18"/>
                <w:szCs w:val="18"/>
              </w:rPr>
              <w:t>证书名称</w:t>
            </w:r>
          </w:p>
        </w:tc>
        <w:tc>
          <w:tcPr>
            <w:tcW w:w="860" w:type="dxa"/>
            <w:shd w:val="clear" w:color="auto" w:fill="F1F1F1" w:themeFill="background1" w:themeFillShade="F2"/>
          </w:tcPr>
          <w:p>
            <w:pPr>
              <w:jc w:val="center"/>
              <w:rPr>
                <w:color w:val="000000"/>
                <w:sz w:val="18"/>
                <w:szCs w:val="18"/>
              </w:rPr>
            </w:pPr>
            <w:r>
              <w:rPr>
                <w:color w:val="000000"/>
                <w:sz w:val="18"/>
                <w:szCs w:val="18"/>
              </w:rPr>
              <w:t>级别</w:t>
            </w:r>
          </w:p>
        </w:tc>
        <w:tc>
          <w:tcPr>
            <w:tcW w:w="2564" w:type="dxa"/>
            <w:shd w:val="clear" w:color="auto" w:fill="F1F1F1" w:themeFill="background1" w:themeFillShade="F2"/>
          </w:tcPr>
          <w:p>
            <w:pPr>
              <w:jc w:val="center"/>
              <w:rPr>
                <w:color w:val="000000"/>
                <w:sz w:val="18"/>
                <w:szCs w:val="18"/>
              </w:rPr>
            </w:pPr>
            <w:r>
              <w:rPr>
                <w:color w:val="000000"/>
                <w:sz w:val="18"/>
                <w:szCs w:val="18"/>
              </w:rPr>
              <w:t>颁证机构</w:t>
            </w:r>
          </w:p>
        </w:tc>
        <w:tc>
          <w:tcPr>
            <w:tcW w:w="1227" w:type="dxa"/>
            <w:shd w:val="clear" w:color="auto" w:fill="F1F1F1" w:themeFill="background1" w:themeFillShade="F2"/>
          </w:tcPr>
          <w:p>
            <w:pPr>
              <w:jc w:val="center"/>
              <w:rPr>
                <w:color w:val="000000"/>
                <w:sz w:val="18"/>
                <w:szCs w:val="18"/>
              </w:rPr>
            </w:pPr>
            <w:r>
              <w:rPr>
                <w:color w:val="000000"/>
                <w:sz w:val="18"/>
                <w:szCs w:val="18"/>
              </w:rPr>
              <w:t>获证要求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32" w:type="dxa"/>
            <w:shd w:val="clear" w:color="auto" w:fill="auto"/>
          </w:tcPr>
          <w:p>
            <w:pPr>
              <w:jc w:val="center"/>
              <w:rPr>
                <w:sz w:val="18"/>
                <w:szCs w:val="18"/>
              </w:rPr>
            </w:pPr>
            <w:r>
              <w:rPr>
                <w:sz w:val="18"/>
                <w:szCs w:val="18"/>
              </w:rPr>
              <w:t>1</w:t>
            </w:r>
          </w:p>
        </w:tc>
        <w:tc>
          <w:tcPr>
            <w:tcW w:w="2822" w:type="dxa"/>
            <w:shd w:val="clear" w:color="auto" w:fill="auto"/>
            <w:vAlign w:val="center"/>
          </w:tcPr>
          <w:p>
            <w:pPr>
              <w:spacing w:line="240" w:lineRule="exact"/>
              <w:jc w:val="center"/>
              <w:rPr>
                <w:rFonts w:ascii="宋体" w:hAnsi="宋体"/>
                <w:sz w:val="18"/>
                <w:szCs w:val="18"/>
              </w:rPr>
            </w:pPr>
            <w:r>
              <w:rPr>
                <w:rFonts w:hint="eastAsia" w:ascii="宋体" w:hAnsi="宋体"/>
                <w:sz w:val="18"/>
                <w:szCs w:val="18"/>
              </w:rPr>
              <w:t>现代物流管理1+X证书</w:t>
            </w:r>
          </w:p>
        </w:tc>
        <w:tc>
          <w:tcPr>
            <w:tcW w:w="860" w:type="dxa"/>
            <w:shd w:val="clear" w:color="auto" w:fill="auto"/>
          </w:tcPr>
          <w:p>
            <w:pPr>
              <w:jc w:val="center"/>
              <w:rPr>
                <w:sz w:val="18"/>
                <w:szCs w:val="18"/>
              </w:rPr>
            </w:pPr>
            <w:r>
              <w:rPr>
                <w:sz w:val="18"/>
                <w:szCs w:val="18"/>
              </w:rPr>
              <w:t>中级</w:t>
            </w:r>
          </w:p>
        </w:tc>
        <w:tc>
          <w:tcPr>
            <w:tcW w:w="2564" w:type="dxa"/>
            <w:shd w:val="clear" w:color="auto" w:fill="auto"/>
          </w:tcPr>
          <w:p>
            <w:pPr>
              <w:rPr>
                <w:sz w:val="18"/>
                <w:szCs w:val="18"/>
              </w:rPr>
            </w:pPr>
            <w:r>
              <w:rPr>
                <w:rFonts w:hint="eastAsia"/>
                <w:sz w:val="18"/>
                <w:szCs w:val="18"/>
              </w:rPr>
              <w:t>中国物流与采购联合会</w:t>
            </w:r>
          </w:p>
        </w:tc>
        <w:tc>
          <w:tcPr>
            <w:tcW w:w="1227" w:type="dxa"/>
            <w:shd w:val="clear" w:color="auto" w:fill="auto"/>
          </w:tcPr>
          <w:p>
            <w:pPr>
              <w:jc w:val="center"/>
              <w:rPr>
                <w:sz w:val="18"/>
                <w:szCs w:val="18"/>
              </w:rPr>
            </w:pPr>
            <w:r>
              <w:rPr>
                <w:sz w:val="18"/>
                <w:szCs w:val="18"/>
              </w:rPr>
              <w:t>可选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32" w:type="dxa"/>
            <w:shd w:val="clear" w:color="auto" w:fill="auto"/>
          </w:tcPr>
          <w:p>
            <w:pPr>
              <w:jc w:val="center"/>
              <w:rPr>
                <w:sz w:val="18"/>
                <w:szCs w:val="18"/>
              </w:rPr>
            </w:pPr>
            <w:r>
              <w:rPr>
                <w:sz w:val="18"/>
                <w:szCs w:val="18"/>
              </w:rPr>
              <w:t>2</w:t>
            </w:r>
          </w:p>
        </w:tc>
        <w:tc>
          <w:tcPr>
            <w:tcW w:w="2822" w:type="dxa"/>
            <w:shd w:val="clear" w:color="auto" w:fill="auto"/>
            <w:vAlign w:val="center"/>
          </w:tcPr>
          <w:p>
            <w:pPr>
              <w:spacing w:line="240" w:lineRule="exact"/>
              <w:jc w:val="center"/>
              <w:rPr>
                <w:rFonts w:ascii="宋体" w:hAnsi="宋体"/>
                <w:sz w:val="18"/>
                <w:szCs w:val="18"/>
              </w:rPr>
            </w:pPr>
            <w:r>
              <w:rPr>
                <w:rFonts w:hint="eastAsia" w:ascii="宋体" w:hAnsi="宋体"/>
                <w:sz w:val="18"/>
                <w:szCs w:val="18"/>
              </w:rPr>
              <w:t>叉车证</w:t>
            </w:r>
          </w:p>
        </w:tc>
        <w:tc>
          <w:tcPr>
            <w:tcW w:w="860" w:type="dxa"/>
            <w:shd w:val="clear" w:color="auto" w:fill="auto"/>
          </w:tcPr>
          <w:p>
            <w:pPr>
              <w:jc w:val="center"/>
              <w:rPr>
                <w:sz w:val="18"/>
                <w:szCs w:val="18"/>
              </w:rPr>
            </w:pPr>
            <w:r>
              <w:rPr>
                <w:rFonts w:hint="eastAsia"/>
                <w:sz w:val="18"/>
                <w:szCs w:val="18"/>
              </w:rPr>
              <w:t>无</w:t>
            </w:r>
          </w:p>
        </w:tc>
        <w:tc>
          <w:tcPr>
            <w:tcW w:w="2564" w:type="dxa"/>
            <w:shd w:val="clear" w:color="auto" w:fill="auto"/>
          </w:tcPr>
          <w:p>
            <w:pPr>
              <w:rPr>
                <w:sz w:val="18"/>
                <w:szCs w:val="18"/>
              </w:rPr>
            </w:pPr>
            <w:r>
              <w:rPr>
                <w:rFonts w:hint="eastAsia"/>
                <w:sz w:val="18"/>
                <w:szCs w:val="18"/>
              </w:rPr>
              <w:t>湖州市特种设备检测中心</w:t>
            </w:r>
          </w:p>
        </w:tc>
        <w:tc>
          <w:tcPr>
            <w:tcW w:w="1227" w:type="dxa"/>
            <w:shd w:val="clear" w:color="auto" w:fill="auto"/>
          </w:tcPr>
          <w:p>
            <w:pPr>
              <w:jc w:val="center"/>
              <w:rPr>
                <w:sz w:val="18"/>
                <w:szCs w:val="18"/>
              </w:rPr>
            </w:pPr>
            <w:r>
              <w:rPr>
                <w:sz w:val="18"/>
                <w:szCs w:val="18"/>
              </w:rPr>
              <w:t>可选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32" w:type="dxa"/>
            <w:shd w:val="clear" w:color="auto" w:fill="auto"/>
          </w:tcPr>
          <w:p>
            <w:pPr>
              <w:jc w:val="center"/>
              <w:rPr>
                <w:sz w:val="18"/>
                <w:szCs w:val="18"/>
              </w:rPr>
            </w:pPr>
            <w:r>
              <w:rPr>
                <w:sz w:val="18"/>
                <w:szCs w:val="18"/>
              </w:rPr>
              <w:t>3</w:t>
            </w:r>
          </w:p>
        </w:tc>
        <w:tc>
          <w:tcPr>
            <w:tcW w:w="2822" w:type="dxa"/>
            <w:shd w:val="clear" w:color="auto" w:fill="auto"/>
            <w:vAlign w:val="center"/>
          </w:tcPr>
          <w:p>
            <w:pPr>
              <w:spacing w:line="240" w:lineRule="exact"/>
              <w:jc w:val="center"/>
              <w:rPr>
                <w:rFonts w:ascii="宋体" w:hAnsi="宋体"/>
                <w:sz w:val="18"/>
                <w:szCs w:val="18"/>
              </w:rPr>
            </w:pPr>
            <w:r>
              <w:rPr>
                <w:rFonts w:hint="eastAsia" w:ascii="宋体" w:hAnsi="宋体"/>
                <w:sz w:val="18"/>
                <w:szCs w:val="18"/>
              </w:rPr>
              <w:t>条码技术资格证书</w:t>
            </w:r>
          </w:p>
        </w:tc>
        <w:tc>
          <w:tcPr>
            <w:tcW w:w="860" w:type="dxa"/>
            <w:shd w:val="clear" w:color="auto" w:fill="auto"/>
          </w:tcPr>
          <w:p>
            <w:pPr>
              <w:jc w:val="center"/>
              <w:rPr>
                <w:sz w:val="18"/>
                <w:szCs w:val="18"/>
              </w:rPr>
            </w:pPr>
            <w:r>
              <w:rPr>
                <w:rFonts w:hint="eastAsia"/>
                <w:sz w:val="18"/>
                <w:szCs w:val="18"/>
              </w:rPr>
              <w:t>无</w:t>
            </w:r>
          </w:p>
        </w:tc>
        <w:tc>
          <w:tcPr>
            <w:tcW w:w="2564" w:type="dxa"/>
            <w:shd w:val="clear" w:color="auto" w:fill="auto"/>
          </w:tcPr>
          <w:p>
            <w:pPr>
              <w:rPr>
                <w:sz w:val="18"/>
                <w:szCs w:val="18"/>
              </w:rPr>
            </w:pPr>
            <w:r>
              <w:rPr>
                <w:rFonts w:hint="eastAsia"/>
                <w:sz w:val="18"/>
                <w:szCs w:val="18"/>
              </w:rPr>
              <w:t>中国物品编码中心</w:t>
            </w:r>
          </w:p>
        </w:tc>
        <w:tc>
          <w:tcPr>
            <w:tcW w:w="1227" w:type="dxa"/>
            <w:shd w:val="clear" w:color="auto" w:fill="auto"/>
          </w:tcPr>
          <w:p>
            <w:pPr>
              <w:jc w:val="center"/>
              <w:rPr>
                <w:sz w:val="18"/>
                <w:szCs w:val="18"/>
              </w:rPr>
            </w:pPr>
            <w:r>
              <w:rPr>
                <w:sz w:val="18"/>
                <w:szCs w:val="18"/>
              </w:rPr>
              <w:t>可选</w:t>
            </w:r>
          </w:p>
        </w:tc>
      </w:tr>
    </w:tbl>
    <w:p>
      <w:pPr>
        <w:spacing w:line="400" w:lineRule="exact"/>
        <w:ind w:firstLine="420" w:firstLineChars="200"/>
        <w:jc w:val="left"/>
        <w:rPr>
          <w:color w:val="FF0000"/>
        </w:rPr>
      </w:pPr>
      <w:r>
        <w:rPr>
          <w:rFonts w:hint="eastAsia"/>
          <w:color w:val="000000"/>
          <w:kern w:val="0"/>
          <w:szCs w:val="21"/>
        </w:rPr>
        <w:t>3.接续高职本科专业举例：物流管理、工商管理、市场营销；接续普通本科专业举例：物流管理、物流工程、工业工程、企业管理、电子商务、工商管理等。</w:t>
      </w:r>
    </w:p>
    <w:p>
      <w:pPr>
        <w:spacing w:line="400" w:lineRule="exact"/>
        <w:jc w:val="center"/>
        <w:rPr>
          <w:rFonts w:ascii="宋体" w:hAnsi="宋体"/>
        </w:rPr>
      </w:pPr>
    </w:p>
    <w:p>
      <w:pPr>
        <w:spacing w:line="400" w:lineRule="exact"/>
        <w:jc w:val="center"/>
        <w:rPr>
          <w:rFonts w:ascii="宋体" w:hAnsi="宋体"/>
        </w:rPr>
      </w:pPr>
      <w:r>
        <w:rPr>
          <w:rFonts w:hint="eastAsia" w:ascii="宋体" w:hAnsi="宋体"/>
        </w:rPr>
        <w:t xml:space="preserve">                                                  修订：胡晓娜      审核：胡国荣</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altName w:val="Arial Unicode MS"/>
    <w:panose1 w:val="02000000000000000000"/>
    <w:charset w:val="86"/>
    <w:family w:val="auto"/>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1E628E"/>
    <w:multiLevelType w:val="multilevel"/>
    <w:tmpl w:val="021E628E"/>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0E9C2B3E"/>
    <w:multiLevelType w:val="multilevel"/>
    <w:tmpl w:val="0E9C2B3E"/>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2">
    <w:nsid w:val="10FA0A6E"/>
    <w:multiLevelType w:val="multilevel"/>
    <w:tmpl w:val="10FA0A6E"/>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152A2473"/>
    <w:multiLevelType w:val="multilevel"/>
    <w:tmpl w:val="152A2473"/>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
    <w:nsid w:val="1B99028D"/>
    <w:multiLevelType w:val="multilevel"/>
    <w:tmpl w:val="1B99028D"/>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5">
    <w:nsid w:val="4B93174F"/>
    <w:multiLevelType w:val="multilevel"/>
    <w:tmpl w:val="4B93174F"/>
    <w:lvl w:ilvl="0" w:tentative="0">
      <w:start w:val="1"/>
      <w:numFmt w:val="bullet"/>
      <w:lvlText w:val=""/>
      <w:lvlJc w:val="left"/>
      <w:pPr>
        <w:ind w:left="860" w:hanging="440"/>
      </w:pPr>
      <w:rPr>
        <w:rFonts w:hint="default" w:ascii="Wingdings" w:hAnsi="Wingdings"/>
      </w:rPr>
    </w:lvl>
    <w:lvl w:ilvl="1" w:tentative="0">
      <w:start w:val="1"/>
      <w:numFmt w:val="bullet"/>
      <w:lvlText w:val=""/>
      <w:lvlJc w:val="left"/>
      <w:pPr>
        <w:ind w:left="1300" w:hanging="440"/>
      </w:pPr>
      <w:rPr>
        <w:rFonts w:hint="default" w:ascii="Wingdings" w:hAnsi="Wingdings"/>
      </w:rPr>
    </w:lvl>
    <w:lvl w:ilvl="2" w:tentative="0">
      <w:start w:val="1"/>
      <w:numFmt w:val="bullet"/>
      <w:lvlText w:val=""/>
      <w:lvlJc w:val="left"/>
      <w:pPr>
        <w:ind w:left="1740" w:hanging="440"/>
      </w:pPr>
      <w:rPr>
        <w:rFonts w:hint="default" w:ascii="Wingdings" w:hAnsi="Wingdings"/>
      </w:rPr>
    </w:lvl>
    <w:lvl w:ilvl="3" w:tentative="0">
      <w:start w:val="1"/>
      <w:numFmt w:val="bullet"/>
      <w:lvlText w:val=""/>
      <w:lvlJc w:val="left"/>
      <w:pPr>
        <w:ind w:left="2180" w:hanging="440"/>
      </w:pPr>
      <w:rPr>
        <w:rFonts w:hint="default" w:ascii="Wingdings" w:hAnsi="Wingdings"/>
      </w:rPr>
    </w:lvl>
    <w:lvl w:ilvl="4" w:tentative="0">
      <w:start w:val="1"/>
      <w:numFmt w:val="bullet"/>
      <w:lvlText w:val=""/>
      <w:lvlJc w:val="left"/>
      <w:pPr>
        <w:ind w:left="2620" w:hanging="440"/>
      </w:pPr>
      <w:rPr>
        <w:rFonts w:hint="default" w:ascii="Wingdings" w:hAnsi="Wingdings"/>
      </w:rPr>
    </w:lvl>
    <w:lvl w:ilvl="5" w:tentative="0">
      <w:start w:val="1"/>
      <w:numFmt w:val="bullet"/>
      <w:lvlText w:val=""/>
      <w:lvlJc w:val="left"/>
      <w:pPr>
        <w:ind w:left="3060" w:hanging="440"/>
      </w:pPr>
      <w:rPr>
        <w:rFonts w:hint="default" w:ascii="Wingdings" w:hAnsi="Wingdings"/>
      </w:rPr>
    </w:lvl>
    <w:lvl w:ilvl="6" w:tentative="0">
      <w:start w:val="1"/>
      <w:numFmt w:val="bullet"/>
      <w:lvlText w:val=""/>
      <w:lvlJc w:val="left"/>
      <w:pPr>
        <w:ind w:left="3500" w:hanging="440"/>
      </w:pPr>
      <w:rPr>
        <w:rFonts w:hint="default" w:ascii="Wingdings" w:hAnsi="Wingdings"/>
      </w:rPr>
    </w:lvl>
    <w:lvl w:ilvl="7" w:tentative="0">
      <w:start w:val="1"/>
      <w:numFmt w:val="bullet"/>
      <w:lvlText w:val=""/>
      <w:lvlJc w:val="left"/>
      <w:pPr>
        <w:ind w:left="3940" w:hanging="440"/>
      </w:pPr>
      <w:rPr>
        <w:rFonts w:hint="default" w:ascii="Wingdings" w:hAnsi="Wingdings"/>
      </w:rPr>
    </w:lvl>
    <w:lvl w:ilvl="8" w:tentative="0">
      <w:start w:val="1"/>
      <w:numFmt w:val="bullet"/>
      <w:lvlText w:val=""/>
      <w:lvlJc w:val="left"/>
      <w:pPr>
        <w:ind w:left="4380" w:hanging="440"/>
      </w:pPr>
      <w:rPr>
        <w:rFonts w:hint="default" w:ascii="Wingdings" w:hAnsi="Wingdings"/>
      </w:rPr>
    </w:lvl>
  </w:abstractNum>
  <w:abstractNum w:abstractNumId="6">
    <w:nsid w:val="4F0961C2"/>
    <w:multiLevelType w:val="multilevel"/>
    <w:tmpl w:val="4F0961C2"/>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
    <w:nsid w:val="51999F24"/>
    <w:multiLevelType w:val="singleLevel"/>
    <w:tmpl w:val="51999F24"/>
    <w:lvl w:ilvl="0" w:tentative="0">
      <w:start w:val="1"/>
      <w:numFmt w:val="bullet"/>
      <w:lvlText w:val=""/>
      <w:lvlJc w:val="left"/>
      <w:pPr>
        <w:ind w:left="420" w:hanging="420"/>
      </w:pPr>
      <w:rPr>
        <w:rFonts w:hint="default" w:ascii="Wingdings" w:hAnsi="Wingdings"/>
      </w:rPr>
    </w:lvl>
  </w:abstractNum>
  <w:abstractNum w:abstractNumId="8">
    <w:nsid w:val="5893423B"/>
    <w:multiLevelType w:val="multilevel"/>
    <w:tmpl w:val="5893423B"/>
    <w:lvl w:ilvl="0" w:tentative="0">
      <w:start w:val="1"/>
      <w:numFmt w:val="bullet"/>
      <w:lvlText w:val=""/>
      <w:lvlJc w:val="left"/>
      <w:pPr>
        <w:ind w:left="860" w:hanging="440"/>
      </w:pPr>
      <w:rPr>
        <w:rFonts w:hint="default" w:ascii="Wingdings" w:hAnsi="Wingdings"/>
      </w:rPr>
    </w:lvl>
    <w:lvl w:ilvl="1" w:tentative="0">
      <w:start w:val="1"/>
      <w:numFmt w:val="bullet"/>
      <w:lvlText w:val=""/>
      <w:lvlJc w:val="left"/>
      <w:pPr>
        <w:ind w:left="1300" w:hanging="440"/>
      </w:pPr>
      <w:rPr>
        <w:rFonts w:hint="default" w:ascii="Wingdings" w:hAnsi="Wingdings"/>
      </w:rPr>
    </w:lvl>
    <w:lvl w:ilvl="2" w:tentative="0">
      <w:start w:val="1"/>
      <w:numFmt w:val="bullet"/>
      <w:lvlText w:val=""/>
      <w:lvlJc w:val="left"/>
      <w:pPr>
        <w:ind w:left="1740" w:hanging="440"/>
      </w:pPr>
      <w:rPr>
        <w:rFonts w:hint="default" w:ascii="Wingdings" w:hAnsi="Wingdings"/>
      </w:rPr>
    </w:lvl>
    <w:lvl w:ilvl="3" w:tentative="0">
      <w:start w:val="1"/>
      <w:numFmt w:val="bullet"/>
      <w:lvlText w:val=""/>
      <w:lvlJc w:val="left"/>
      <w:pPr>
        <w:ind w:left="2180" w:hanging="440"/>
      </w:pPr>
      <w:rPr>
        <w:rFonts w:hint="default" w:ascii="Wingdings" w:hAnsi="Wingdings"/>
      </w:rPr>
    </w:lvl>
    <w:lvl w:ilvl="4" w:tentative="0">
      <w:start w:val="1"/>
      <w:numFmt w:val="bullet"/>
      <w:lvlText w:val=""/>
      <w:lvlJc w:val="left"/>
      <w:pPr>
        <w:ind w:left="2620" w:hanging="440"/>
      </w:pPr>
      <w:rPr>
        <w:rFonts w:hint="default" w:ascii="Wingdings" w:hAnsi="Wingdings"/>
      </w:rPr>
    </w:lvl>
    <w:lvl w:ilvl="5" w:tentative="0">
      <w:start w:val="1"/>
      <w:numFmt w:val="bullet"/>
      <w:lvlText w:val=""/>
      <w:lvlJc w:val="left"/>
      <w:pPr>
        <w:ind w:left="3060" w:hanging="440"/>
      </w:pPr>
      <w:rPr>
        <w:rFonts w:hint="default" w:ascii="Wingdings" w:hAnsi="Wingdings"/>
      </w:rPr>
    </w:lvl>
    <w:lvl w:ilvl="6" w:tentative="0">
      <w:start w:val="1"/>
      <w:numFmt w:val="bullet"/>
      <w:lvlText w:val=""/>
      <w:lvlJc w:val="left"/>
      <w:pPr>
        <w:ind w:left="3500" w:hanging="440"/>
      </w:pPr>
      <w:rPr>
        <w:rFonts w:hint="default" w:ascii="Wingdings" w:hAnsi="Wingdings"/>
      </w:rPr>
    </w:lvl>
    <w:lvl w:ilvl="7" w:tentative="0">
      <w:start w:val="1"/>
      <w:numFmt w:val="bullet"/>
      <w:lvlText w:val=""/>
      <w:lvlJc w:val="left"/>
      <w:pPr>
        <w:ind w:left="3940" w:hanging="440"/>
      </w:pPr>
      <w:rPr>
        <w:rFonts w:hint="default" w:ascii="Wingdings" w:hAnsi="Wingdings"/>
      </w:rPr>
    </w:lvl>
    <w:lvl w:ilvl="8" w:tentative="0">
      <w:start w:val="1"/>
      <w:numFmt w:val="bullet"/>
      <w:lvlText w:val=""/>
      <w:lvlJc w:val="left"/>
      <w:pPr>
        <w:ind w:left="4380" w:hanging="440"/>
      </w:pPr>
      <w:rPr>
        <w:rFonts w:hint="default" w:ascii="Wingdings" w:hAnsi="Wingdings"/>
      </w:rPr>
    </w:lvl>
  </w:abstractNum>
  <w:abstractNum w:abstractNumId="9">
    <w:nsid w:val="7F0E229A"/>
    <w:multiLevelType w:val="multilevel"/>
    <w:tmpl w:val="7F0E229A"/>
    <w:lvl w:ilvl="0" w:tentative="0">
      <w:start w:val="1"/>
      <w:numFmt w:val="bullet"/>
      <w:lvlText w:val=""/>
      <w:lvlJc w:val="left"/>
      <w:pPr>
        <w:ind w:left="860" w:hanging="440"/>
      </w:pPr>
      <w:rPr>
        <w:rFonts w:hint="default" w:ascii="Wingdings" w:hAnsi="Wingdings"/>
      </w:rPr>
    </w:lvl>
    <w:lvl w:ilvl="1" w:tentative="0">
      <w:start w:val="1"/>
      <w:numFmt w:val="bullet"/>
      <w:lvlText w:val=""/>
      <w:lvlJc w:val="left"/>
      <w:pPr>
        <w:ind w:left="1300" w:hanging="440"/>
      </w:pPr>
      <w:rPr>
        <w:rFonts w:hint="default" w:ascii="Wingdings" w:hAnsi="Wingdings"/>
      </w:rPr>
    </w:lvl>
    <w:lvl w:ilvl="2" w:tentative="0">
      <w:start w:val="1"/>
      <w:numFmt w:val="bullet"/>
      <w:lvlText w:val=""/>
      <w:lvlJc w:val="left"/>
      <w:pPr>
        <w:ind w:left="1740" w:hanging="440"/>
      </w:pPr>
      <w:rPr>
        <w:rFonts w:hint="default" w:ascii="Wingdings" w:hAnsi="Wingdings"/>
      </w:rPr>
    </w:lvl>
    <w:lvl w:ilvl="3" w:tentative="0">
      <w:start w:val="1"/>
      <w:numFmt w:val="bullet"/>
      <w:lvlText w:val=""/>
      <w:lvlJc w:val="left"/>
      <w:pPr>
        <w:ind w:left="2180" w:hanging="440"/>
      </w:pPr>
      <w:rPr>
        <w:rFonts w:hint="default" w:ascii="Wingdings" w:hAnsi="Wingdings"/>
      </w:rPr>
    </w:lvl>
    <w:lvl w:ilvl="4" w:tentative="0">
      <w:start w:val="1"/>
      <w:numFmt w:val="bullet"/>
      <w:lvlText w:val=""/>
      <w:lvlJc w:val="left"/>
      <w:pPr>
        <w:ind w:left="2620" w:hanging="440"/>
      </w:pPr>
      <w:rPr>
        <w:rFonts w:hint="default" w:ascii="Wingdings" w:hAnsi="Wingdings"/>
      </w:rPr>
    </w:lvl>
    <w:lvl w:ilvl="5" w:tentative="0">
      <w:start w:val="1"/>
      <w:numFmt w:val="bullet"/>
      <w:lvlText w:val=""/>
      <w:lvlJc w:val="left"/>
      <w:pPr>
        <w:ind w:left="3060" w:hanging="440"/>
      </w:pPr>
      <w:rPr>
        <w:rFonts w:hint="default" w:ascii="Wingdings" w:hAnsi="Wingdings"/>
      </w:rPr>
    </w:lvl>
    <w:lvl w:ilvl="6" w:tentative="0">
      <w:start w:val="1"/>
      <w:numFmt w:val="bullet"/>
      <w:lvlText w:val=""/>
      <w:lvlJc w:val="left"/>
      <w:pPr>
        <w:ind w:left="3500" w:hanging="440"/>
      </w:pPr>
      <w:rPr>
        <w:rFonts w:hint="default" w:ascii="Wingdings" w:hAnsi="Wingdings"/>
      </w:rPr>
    </w:lvl>
    <w:lvl w:ilvl="7" w:tentative="0">
      <w:start w:val="1"/>
      <w:numFmt w:val="bullet"/>
      <w:lvlText w:val=""/>
      <w:lvlJc w:val="left"/>
      <w:pPr>
        <w:ind w:left="3940" w:hanging="440"/>
      </w:pPr>
      <w:rPr>
        <w:rFonts w:hint="default" w:ascii="Wingdings" w:hAnsi="Wingdings"/>
      </w:rPr>
    </w:lvl>
    <w:lvl w:ilvl="8" w:tentative="0">
      <w:start w:val="1"/>
      <w:numFmt w:val="bullet"/>
      <w:lvlText w:val=""/>
      <w:lvlJc w:val="left"/>
      <w:pPr>
        <w:ind w:left="4380" w:hanging="440"/>
      </w:pPr>
      <w:rPr>
        <w:rFonts w:hint="default" w:ascii="Wingdings" w:hAnsi="Wingdings"/>
      </w:rPr>
    </w:lvl>
  </w:abstractNum>
  <w:num w:numId="1">
    <w:abstractNumId w:val="1"/>
  </w:num>
  <w:num w:numId="2">
    <w:abstractNumId w:val="4"/>
  </w:num>
  <w:num w:numId="3">
    <w:abstractNumId w:val="7"/>
  </w:num>
  <w:num w:numId="4">
    <w:abstractNumId w:val="5"/>
  </w:num>
  <w:num w:numId="5">
    <w:abstractNumId w:val="9"/>
  </w:num>
  <w:num w:numId="6">
    <w:abstractNumId w:val="8"/>
  </w:num>
  <w:num w:numId="7">
    <w:abstractNumId w:val="6"/>
  </w:num>
  <w:num w:numId="8">
    <w:abstractNumId w:val="0"/>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zEwNTM5NzYwMDRjMzkwZTVkZjY2ODkwMGIxNGU0OTUifQ=="/>
  </w:docVars>
  <w:rsids>
    <w:rsidRoot w:val="7C0375B1"/>
    <w:rsid w:val="00010A6C"/>
    <w:rsid w:val="00011D3C"/>
    <w:rsid w:val="00065B33"/>
    <w:rsid w:val="00074DF6"/>
    <w:rsid w:val="000A0386"/>
    <w:rsid w:val="000A5097"/>
    <w:rsid w:val="000D5156"/>
    <w:rsid w:val="000F0C2C"/>
    <w:rsid w:val="00105BD7"/>
    <w:rsid w:val="001411F4"/>
    <w:rsid w:val="00145943"/>
    <w:rsid w:val="00152220"/>
    <w:rsid w:val="00157E9C"/>
    <w:rsid w:val="0016690E"/>
    <w:rsid w:val="001E162E"/>
    <w:rsid w:val="00213B2A"/>
    <w:rsid w:val="00215FD5"/>
    <w:rsid w:val="00231907"/>
    <w:rsid w:val="00240BEE"/>
    <w:rsid w:val="00254F71"/>
    <w:rsid w:val="002B3F0F"/>
    <w:rsid w:val="002D1D12"/>
    <w:rsid w:val="002D7550"/>
    <w:rsid w:val="00301F46"/>
    <w:rsid w:val="00303FE8"/>
    <w:rsid w:val="00316898"/>
    <w:rsid w:val="0038034F"/>
    <w:rsid w:val="00392910"/>
    <w:rsid w:val="00396DAD"/>
    <w:rsid w:val="003D72F3"/>
    <w:rsid w:val="00415585"/>
    <w:rsid w:val="00423372"/>
    <w:rsid w:val="004673A1"/>
    <w:rsid w:val="0047228D"/>
    <w:rsid w:val="004B44E6"/>
    <w:rsid w:val="004E0612"/>
    <w:rsid w:val="005453FA"/>
    <w:rsid w:val="005508DD"/>
    <w:rsid w:val="005760B2"/>
    <w:rsid w:val="005B50F1"/>
    <w:rsid w:val="005C148D"/>
    <w:rsid w:val="005D0BEB"/>
    <w:rsid w:val="005E25CB"/>
    <w:rsid w:val="005E3DA3"/>
    <w:rsid w:val="00604034"/>
    <w:rsid w:val="006216A6"/>
    <w:rsid w:val="00663888"/>
    <w:rsid w:val="00747417"/>
    <w:rsid w:val="0076149C"/>
    <w:rsid w:val="007B13B0"/>
    <w:rsid w:val="007B7A49"/>
    <w:rsid w:val="007C751C"/>
    <w:rsid w:val="007E3FCC"/>
    <w:rsid w:val="007F2A7D"/>
    <w:rsid w:val="007F625F"/>
    <w:rsid w:val="00806385"/>
    <w:rsid w:val="008106AC"/>
    <w:rsid w:val="00816B78"/>
    <w:rsid w:val="00871EE6"/>
    <w:rsid w:val="00885868"/>
    <w:rsid w:val="008B6E1F"/>
    <w:rsid w:val="008E4BA4"/>
    <w:rsid w:val="008F72BE"/>
    <w:rsid w:val="0090443C"/>
    <w:rsid w:val="00990CF5"/>
    <w:rsid w:val="009A2D47"/>
    <w:rsid w:val="009B34E1"/>
    <w:rsid w:val="009B4568"/>
    <w:rsid w:val="009D01B2"/>
    <w:rsid w:val="009E0C90"/>
    <w:rsid w:val="00A70EEA"/>
    <w:rsid w:val="00AA3D11"/>
    <w:rsid w:val="00AB7C34"/>
    <w:rsid w:val="00AD434F"/>
    <w:rsid w:val="00AE1F07"/>
    <w:rsid w:val="00B10E2F"/>
    <w:rsid w:val="00B316A8"/>
    <w:rsid w:val="00B94D94"/>
    <w:rsid w:val="00BC2697"/>
    <w:rsid w:val="00C406B3"/>
    <w:rsid w:val="00C51BFC"/>
    <w:rsid w:val="00C75D6B"/>
    <w:rsid w:val="00CE0133"/>
    <w:rsid w:val="00D017C0"/>
    <w:rsid w:val="00D133FC"/>
    <w:rsid w:val="00D503F3"/>
    <w:rsid w:val="00D60A0B"/>
    <w:rsid w:val="00DA66D5"/>
    <w:rsid w:val="00DB2C27"/>
    <w:rsid w:val="00DE12E3"/>
    <w:rsid w:val="00DF2FC4"/>
    <w:rsid w:val="00E01A1D"/>
    <w:rsid w:val="00E227DC"/>
    <w:rsid w:val="00E30698"/>
    <w:rsid w:val="00E54A8E"/>
    <w:rsid w:val="00E700E9"/>
    <w:rsid w:val="00EA1256"/>
    <w:rsid w:val="00EC5074"/>
    <w:rsid w:val="00ED15B8"/>
    <w:rsid w:val="00ED1C81"/>
    <w:rsid w:val="00F17AD8"/>
    <w:rsid w:val="00F2057D"/>
    <w:rsid w:val="00F3460E"/>
    <w:rsid w:val="083F5E16"/>
    <w:rsid w:val="16066B5C"/>
    <w:rsid w:val="1AE502F6"/>
    <w:rsid w:val="21030307"/>
    <w:rsid w:val="25B6789C"/>
    <w:rsid w:val="26FA3630"/>
    <w:rsid w:val="2BD90A61"/>
    <w:rsid w:val="2E136BED"/>
    <w:rsid w:val="37852457"/>
    <w:rsid w:val="38BA13BD"/>
    <w:rsid w:val="3D0D4BC8"/>
    <w:rsid w:val="40016F43"/>
    <w:rsid w:val="49A403EE"/>
    <w:rsid w:val="4E723D9D"/>
    <w:rsid w:val="5749347C"/>
    <w:rsid w:val="57FE63C3"/>
    <w:rsid w:val="64D70856"/>
    <w:rsid w:val="69590C18"/>
    <w:rsid w:val="6A487C8E"/>
    <w:rsid w:val="77FC3787"/>
    <w:rsid w:val="78834ABF"/>
    <w:rsid w:val="78D96747"/>
    <w:rsid w:val="791A05A5"/>
    <w:rsid w:val="7C0375B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qFormat="1" w:uiPriority="99" w:name="footnote text"/>
    <w:lsdException w:qFormat="1"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35" w:semiHidden="0" w:name="caption"/>
    <w:lsdException w:uiPriority="0" w:name="table of figures"/>
    <w:lsdException w:uiPriority="0" w:name="envelope address"/>
    <w:lsdException w:uiPriority="0" w:name="envelope return"/>
    <w:lsdException w:qFormat="1" w:uiPriority="99"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qFormat/>
    <w:uiPriority w:val="0"/>
    <w:pPr>
      <w:keepNext/>
      <w:keepLines/>
      <w:spacing w:before="340" w:after="330" w:line="576" w:lineRule="auto"/>
      <w:jc w:val="left"/>
      <w:outlineLvl w:val="0"/>
    </w:pPr>
    <w:rPr>
      <w:rFonts w:asciiTheme="minorHAnsi" w:hAnsiTheme="minorHAnsi"/>
      <w:kern w:val="44"/>
      <w:sz w:val="24"/>
    </w:rPr>
  </w:style>
  <w:style w:type="paragraph" w:styleId="4">
    <w:name w:val="heading 2"/>
    <w:basedOn w:val="1"/>
    <w:next w:val="1"/>
    <w:link w:val="24"/>
    <w:qFormat/>
    <w:uiPriority w:val="0"/>
    <w:pPr>
      <w:keepNext/>
      <w:keepLines/>
      <w:spacing w:before="260" w:after="260" w:line="416" w:lineRule="auto"/>
      <w:outlineLvl w:val="1"/>
    </w:pPr>
    <w:rPr>
      <w:rFonts w:ascii="Arial" w:hAnsi="Arial" w:eastAsia="黑体"/>
      <w:b/>
      <w:bCs/>
      <w:sz w:val="32"/>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customStyle="1" w:styleId="2">
    <w:name w:val="首行缩进"/>
    <w:basedOn w:val="1"/>
    <w:qFormat/>
    <w:uiPriority w:val="0"/>
  </w:style>
  <w:style w:type="paragraph" w:styleId="5">
    <w:name w:val="caption"/>
    <w:basedOn w:val="1"/>
    <w:next w:val="1"/>
    <w:unhideWhenUsed/>
    <w:qFormat/>
    <w:uiPriority w:val="35"/>
    <w:rPr>
      <w:rFonts w:ascii="Cambria" w:hAnsi="Cambria" w:eastAsia="黑体"/>
      <w:sz w:val="20"/>
      <w:szCs w:val="20"/>
    </w:rPr>
  </w:style>
  <w:style w:type="paragraph" w:styleId="6">
    <w:name w:val="annotation text"/>
    <w:basedOn w:val="1"/>
    <w:link w:val="21"/>
    <w:unhideWhenUsed/>
    <w:qFormat/>
    <w:uiPriority w:val="0"/>
    <w:pPr>
      <w:jc w:val="left"/>
    </w:pPr>
  </w:style>
  <w:style w:type="paragraph" w:styleId="7">
    <w:name w:val="Body Text"/>
    <w:basedOn w:val="1"/>
    <w:qFormat/>
    <w:uiPriority w:val="1"/>
    <w:rPr>
      <w:rFonts w:ascii="宋体" w:hAnsi="宋体" w:cs="宋体"/>
      <w:sz w:val="18"/>
      <w:szCs w:val="18"/>
      <w:lang w:val="zh-CN" w:bidi="zh-CN"/>
    </w:rPr>
  </w:style>
  <w:style w:type="paragraph" w:styleId="8">
    <w:name w:val="Balloon Text"/>
    <w:basedOn w:val="1"/>
    <w:link w:val="23"/>
    <w:semiHidden/>
    <w:unhideWhenUsed/>
    <w:qFormat/>
    <w:uiPriority w:val="0"/>
    <w:rPr>
      <w:sz w:val="18"/>
      <w:szCs w:val="18"/>
    </w:rPr>
  </w:style>
  <w:style w:type="paragraph" w:styleId="9">
    <w:name w:val="footer"/>
    <w:basedOn w:val="1"/>
    <w:link w:val="19"/>
    <w:qFormat/>
    <w:uiPriority w:val="0"/>
    <w:pPr>
      <w:tabs>
        <w:tab w:val="center" w:pos="4153"/>
        <w:tab w:val="right" w:pos="8306"/>
      </w:tabs>
      <w:snapToGrid w:val="0"/>
      <w:jc w:val="left"/>
    </w:pPr>
    <w:rPr>
      <w:sz w:val="18"/>
      <w:szCs w:val="18"/>
    </w:rPr>
  </w:style>
  <w:style w:type="paragraph" w:styleId="10">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paragraph" w:styleId="11">
    <w:name w:val="footnote text"/>
    <w:basedOn w:val="1"/>
    <w:semiHidden/>
    <w:unhideWhenUsed/>
    <w:qFormat/>
    <w:uiPriority w:val="99"/>
    <w:pPr>
      <w:snapToGrid w:val="0"/>
      <w:jc w:val="left"/>
    </w:pPr>
    <w:rPr>
      <w:sz w:val="18"/>
    </w:rPr>
  </w:style>
  <w:style w:type="paragraph" w:styleId="12">
    <w:name w:val="annotation subject"/>
    <w:basedOn w:val="6"/>
    <w:next w:val="6"/>
    <w:link w:val="22"/>
    <w:semiHidden/>
    <w:unhideWhenUsed/>
    <w:qFormat/>
    <w:uiPriority w:val="0"/>
    <w:rPr>
      <w:b/>
      <w:bCs/>
    </w:rPr>
  </w:style>
  <w:style w:type="character" w:styleId="15">
    <w:name w:val="annotation reference"/>
    <w:basedOn w:val="14"/>
    <w:semiHidden/>
    <w:unhideWhenUsed/>
    <w:qFormat/>
    <w:uiPriority w:val="0"/>
    <w:rPr>
      <w:sz w:val="21"/>
      <w:szCs w:val="21"/>
    </w:rPr>
  </w:style>
  <w:style w:type="character" w:styleId="16">
    <w:name w:val="footnote reference"/>
    <w:semiHidden/>
    <w:unhideWhenUsed/>
    <w:qFormat/>
    <w:uiPriority w:val="99"/>
    <w:rPr>
      <w:vertAlign w:val="superscript"/>
    </w:rPr>
  </w:style>
  <w:style w:type="paragraph" w:styleId="17">
    <w:name w:val="List Paragraph"/>
    <w:basedOn w:val="1"/>
    <w:qFormat/>
    <w:uiPriority w:val="99"/>
    <w:pPr>
      <w:ind w:firstLine="420" w:firstLineChars="200"/>
    </w:pPr>
  </w:style>
  <w:style w:type="character" w:customStyle="1" w:styleId="18">
    <w:name w:val="页眉 字符"/>
    <w:basedOn w:val="14"/>
    <w:link w:val="10"/>
    <w:qFormat/>
    <w:uiPriority w:val="0"/>
    <w:rPr>
      <w:rFonts w:ascii="Times New Roman" w:hAnsi="Times New Roman" w:eastAsia="宋体" w:cs="Times New Roman"/>
      <w:kern w:val="2"/>
      <w:sz w:val="18"/>
      <w:szCs w:val="18"/>
    </w:rPr>
  </w:style>
  <w:style w:type="character" w:customStyle="1" w:styleId="19">
    <w:name w:val="页脚 字符"/>
    <w:basedOn w:val="14"/>
    <w:link w:val="9"/>
    <w:qFormat/>
    <w:uiPriority w:val="0"/>
    <w:rPr>
      <w:rFonts w:ascii="Times New Roman" w:hAnsi="Times New Roman" w:eastAsia="宋体" w:cs="Times New Roman"/>
      <w:kern w:val="2"/>
      <w:sz w:val="18"/>
      <w:szCs w:val="18"/>
    </w:rPr>
  </w:style>
  <w:style w:type="paragraph" w:customStyle="1" w:styleId="20">
    <w:name w:val="修订1"/>
    <w:hidden/>
    <w:semiHidden/>
    <w:qFormat/>
    <w:uiPriority w:val="99"/>
    <w:rPr>
      <w:rFonts w:ascii="Times New Roman" w:hAnsi="Times New Roman" w:eastAsia="宋体" w:cs="Times New Roman"/>
      <w:kern w:val="2"/>
      <w:sz w:val="21"/>
      <w:szCs w:val="22"/>
      <w:lang w:val="en-US" w:eastAsia="zh-CN" w:bidi="ar-SA"/>
    </w:rPr>
  </w:style>
  <w:style w:type="character" w:customStyle="1" w:styleId="21">
    <w:name w:val="批注文字 字符"/>
    <w:basedOn w:val="14"/>
    <w:link w:val="6"/>
    <w:qFormat/>
    <w:uiPriority w:val="0"/>
    <w:rPr>
      <w:rFonts w:ascii="Times New Roman" w:hAnsi="Times New Roman" w:eastAsia="宋体" w:cs="Times New Roman"/>
      <w:kern w:val="2"/>
      <w:sz w:val="21"/>
      <w:szCs w:val="22"/>
    </w:rPr>
  </w:style>
  <w:style w:type="character" w:customStyle="1" w:styleId="22">
    <w:name w:val="批注主题 字符"/>
    <w:basedOn w:val="21"/>
    <w:link w:val="12"/>
    <w:semiHidden/>
    <w:qFormat/>
    <w:uiPriority w:val="0"/>
    <w:rPr>
      <w:rFonts w:ascii="Times New Roman" w:hAnsi="Times New Roman" w:eastAsia="宋体" w:cs="Times New Roman"/>
      <w:b/>
      <w:bCs/>
      <w:kern w:val="2"/>
      <w:sz w:val="21"/>
      <w:szCs w:val="22"/>
    </w:rPr>
  </w:style>
  <w:style w:type="character" w:customStyle="1" w:styleId="23">
    <w:name w:val="批注框文本 字符"/>
    <w:basedOn w:val="14"/>
    <w:link w:val="8"/>
    <w:semiHidden/>
    <w:qFormat/>
    <w:uiPriority w:val="0"/>
    <w:rPr>
      <w:rFonts w:ascii="Times New Roman" w:hAnsi="Times New Roman" w:eastAsia="宋体" w:cs="Times New Roman"/>
      <w:kern w:val="2"/>
      <w:sz w:val="18"/>
      <w:szCs w:val="18"/>
    </w:rPr>
  </w:style>
  <w:style w:type="character" w:customStyle="1" w:styleId="24">
    <w:name w:val="标题 2 字符"/>
    <w:basedOn w:val="14"/>
    <w:link w:val="4"/>
    <w:qFormat/>
    <w:uiPriority w:val="0"/>
    <w:rPr>
      <w:rFonts w:ascii="Arial" w:hAnsi="Arial" w:eastAsia="黑体" w:cs="Times New Roman"/>
      <w:b/>
      <w:bCs/>
      <w:kern w:val="2"/>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e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上海海事大学</Company>
  <Pages>12</Pages>
  <Words>10684</Words>
  <Characters>11023</Characters>
  <Lines>104</Lines>
  <Paragraphs>29</Paragraphs>
  <TotalTime>48</TotalTime>
  <ScaleCrop>false</ScaleCrop>
  <LinksUpToDate>false</LinksUpToDate>
  <CharactersWithSpaces>11087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2023-05-12T02:41:00Z</dcterms:created>
  <dc:creator>钟云平</dc:creator>
  <cp:lastModifiedBy>晓娜</cp:lastModifiedBy>
  <dcterms:modified xsi:type="dcterms:W3CDTF">2024-07-16T05:53:46Z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2EBBD5F222864CC799955C7D1295B927_11</vt:lpwstr>
  </property>
</Properties>
</file>