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616E3">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val="0"/>
          <w:color w:val="000000"/>
          <w:kern w:val="0"/>
          <w:sz w:val="40"/>
          <w:szCs w:val="40"/>
        </w:rPr>
      </w:pPr>
      <w:r>
        <w:rPr>
          <w:rFonts w:hint="eastAsia" w:ascii="方正小标宋_GBK" w:hAnsi="方正小标宋_GBK" w:eastAsia="方正小标宋_GBK" w:cs="方正小标宋_GBK"/>
          <w:b w:val="0"/>
          <w:bCs w:val="0"/>
          <w:color w:val="000000"/>
          <w:kern w:val="0"/>
          <w:sz w:val="40"/>
          <w:szCs w:val="40"/>
        </w:rPr>
        <w:t>湖州职业技术学院</w:t>
      </w:r>
      <w:r>
        <w:rPr>
          <w:rFonts w:hint="default" w:ascii="Times New Roman" w:hAnsi="Times New Roman" w:eastAsia="方正小标宋_GBK" w:cs="Times New Roman"/>
          <w:b w:val="0"/>
          <w:bCs w:val="0"/>
          <w:color w:val="000000"/>
          <w:kern w:val="0"/>
          <w:sz w:val="40"/>
          <w:szCs w:val="40"/>
        </w:rPr>
        <w:t>202</w:t>
      </w:r>
      <w:r>
        <w:rPr>
          <w:rFonts w:hint="default" w:ascii="Times New Roman" w:hAnsi="Times New Roman" w:eastAsia="方正小标宋_GBK" w:cs="Times New Roman"/>
          <w:b w:val="0"/>
          <w:bCs w:val="0"/>
          <w:color w:val="000000"/>
          <w:kern w:val="0"/>
          <w:sz w:val="40"/>
          <w:szCs w:val="40"/>
          <w:lang w:val="en-US" w:eastAsia="zh-CN"/>
        </w:rPr>
        <w:t>4</w:t>
      </w:r>
      <w:r>
        <w:rPr>
          <w:rFonts w:hint="eastAsia" w:ascii="方正小标宋_GBK" w:hAnsi="方正小标宋_GBK" w:eastAsia="方正小标宋_GBK" w:cs="方正小标宋_GBK"/>
          <w:b w:val="0"/>
          <w:bCs w:val="0"/>
          <w:color w:val="000000"/>
          <w:kern w:val="0"/>
          <w:sz w:val="40"/>
          <w:szCs w:val="40"/>
        </w:rPr>
        <w:t>级大数据与会计专业</w:t>
      </w:r>
    </w:p>
    <w:p w14:paraId="299A1B0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val="0"/>
          <w:color w:val="000000"/>
          <w:kern w:val="0"/>
          <w:sz w:val="40"/>
          <w:szCs w:val="40"/>
        </w:rPr>
      </w:pPr>
      <w:r>
        <w:rPr>
          <w:rFonts w:hint="eastAsia" w:ascii="方正小标宋_GBK" w:hAnsi="方正小标宋_GBK" w:eastAsia="方正小标宋_GBK" w:cs="方正小标宋_GBK"/>
          <w:b w:val="0"/>
          <w:bCs w:val="0"/>
          <w:color w:val="000000"/>
          <w:kern w:val="0"/>
          <w:sz w:val="40"/>
          <w:szCs w:val="40"/>
        </w:rPr>
        <w:t>人才培养方案</w:t>
      </w:r>
    </w:p>
    <w:p w14:paraId="1098DF6A">
      <w:pPr>
        <w:keepNext w:val="0"/>
        <w:keepLines w:val="0"/>
        <w:pageBreakBefore w:val="0"/>
        <w:widowControl w:val="0"/>
        <w:kinsoku/>
        <w:wordWrap/>
        <w:overflowPunct/>
        <w:topLinePunct w:val="0"/>
        <w:autoSpaceDE/>
        <w:autoSpaceDN/>
        <w:bidi w:val="0"/>
        <w:spacing w:line="400" w:lineRule="exact"/>
        <w:jc w:val="both"/>
        <w:textAlignment w:val="auto"/>
        <w:rPr>
          <w:rFonts w:eastAsia="华文仿宋"/>
          <w:color w:val="FF0000"/>
          <w:sz w:val="20"/>
          <w:szCs w:val="21"/>
        </w:rPr>
      </w:pPr>
    </w:p>
    <w:p w14:paraId="1455C250">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 xml:space="preserve">一、专业名称与代码 </w:t>
      </w:r>
    </w:p>
    <w:p w14:paraId="3EFB9A7C">
      <w:pPr>
        <w:keepNext w:val="0"/>
        <w:keepLines w:val="0"/>
        <w:pageBreakBefore w:val="0"/>
        <w:widowControl w:val="0"/>
        <w:kinsoku/>
        <w:wordWrap/>
        <w:overflowPunct/>
        <w:topLinePunct w:val="0"/>
        <w:autoSpaceDE/>
        <w:autoSpaceDN/>
        <w:bidi w:val="0"/>
        <w:spacing w:line="400" w:lineRule="exact"/>
        <w:ind w:firstLine="420" w:firstLineChars="200"/>
        <w:textAlignment w:val="auto"/>
        <w:rPr>
          <w:color w:val="000000"/>
          <w:szCs w:val="21"/>
        </w:rPr>
      </w:pPr>
      <w:r>
        <w:rPr>
          <w:color w:val="000000"/>
          <w:szCs w:val="21"/>
        </w:rPr>
        <w:t>专业名称：</w:t>
      </w:r>
      <w:r>
        <w:rPr>
          <w:rFonts w:hint="eastAsia" w:ascii="宋体" w:hAnsi="宋体"/>
          <w:color w:val="000000" w:themeColor="text1"/>
          <w:szCs w:val="21"/>
        </w:rPr>
        <w:t>大数据与会计</w:t>
      </w:r>
    </w:p>
    <w:p w14:paraId="061A4972">
      <w:pPr>
        <w:keepNext w:val="0"/>
        <w:keepLines w:val="0"/>
        <w:pageBreakBefore w:val="0"/>
        <w:widowControl w:val="0"/>
        <w:kinsoku/>
        <w:wordWrap/>
        <w:overflowPunct/>
        <w:topLinePunct w:val="0"/>
        <w:autoSpaceDE/>
        <w:autoSpaceDN/>
        <w:bidi w:val="0"/>
        <w:spacing w:line="400" w:lineRule="exact"/>
        <w:ind w:firstLine="420" w:firstLineChars="200"/>
        <w:textAlignment w:val="auto"/>
      </w:pPr>
      <w:r>
        <w:rPr>
          <w:color w:val="000000"/>
          <w:szCs w:val="21"/>
        </w:rPr>
        <w:t>专业代码：</w:t>
      </w:r>
      <w:r>
        <w:rPr>
          <w:rFonts w:hint="default" w:ascii="Times New Roman" w:hAnsi="Times New Roman" w:cs="Times New Roman"/>
          <w:color w:val="000000" w:themeColor="text1"/>
          <w:szCs w:val="21"/>
        </w:rPr>
        <w:t>530302</w:t>
      </w:r>
    </w:p>
    <w:p w14:paraId="1E759502">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二、入学要求</w:t>
      </w:r>
    </w:p>
    <w:p w14:paraId="2BE858D2">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pPr>
      <w:r>
        <w:rPr>
          <w:color w:val="000000"/>
          <w:kern w:val="0"/>
          <w:szCs w:val="21"/>
        </w:rPr>
        <w:t>高中毕业生、中职毕业生或具有同等学历者。</w:t>
      </w:r>
    </w:p>
    <w:p w14:paraId="17459145">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三、修业年限</w:t>
      </w:r>
    </w:p>
    <w:p w14:paraId="40B25F57">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pPr>
      <w:r>
        <w:rPr>
          <w:kern w:val="0"/>
          <w:szCs w:val="21"/>
        </w:rPr>
        <w:t>基本学制</w:t>
      </w:r>
      <w:r>
        <w:rPr>
          <w:rFonts w:hint="default" w:ascii="Times New Roman" w:hAnsi="Times New Roman" w:cs="Times New Roman"/>
          <w:kern w:val="0"/>
          <w:szCs w:val="21"/>
        </w:rPr>
        <w:t>3</w:t>
      </w:r>
      <w:r>
        <w:rPr>
          <w:kern w:val="0"/>
          <w:szCs w:val="21"/>
        </w:rPr>
        <w:t xml:space="preserve">年，学习年限 </w:t>
      </w:r>
      <w:r>
        <w:rPr>
          <w:rFonts w:hint="default" w:ascii="Times New Roman" w:hAnsi="Times New Roman" w:cs="Times New Roman"/>
          <w:kern w:val="0"/>
          <w:szCs w:val="21"/>
        </w:rPr>
        <w:t>3</w:t>
      </w:r>
      <w:r>
        <w:rPr>
          <w:kern w:val="0"/>
          <w:szCs w:val="21"/>
        </w:rPr>
        <w:t>-</w:t>
      </w:r>
      <w:r>
        <w:rPr>
          <w:rFonts w:hint="default" w:ascii="Times New Roman" w:hAnsi="Times New Roman" w:cs="Times New Roman"/>
          <w:kern w:val="0"/>
          <w:szCs w:val="21"/>
        </w:rPr>
        <w:t>6</w:t>
      </w:r>
      <w:r>
        <w:rPr>
          <w:kern w:val="0"/>
          <w:szCs w:val="21"/>
        </w:rPr>
        <w:t xml:space="preserve"> 年，学分制。</w:t>
      </w:r>
    </w:p>
    <w:p w14:paraId="43A0C34B">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四、职业面向</w:t>
      </w:r>
    </w:p>
    <w:p w14:paraId="615FFECE">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outlineLvl w:val="0"/>
        <w:rPr>
          <w:b/>
          <w:bCs/>
          <w:color w:val="000000"/>
          <w:kern w:val="0"/>
          <w:szCs w:val="21"/>
        </w:rPr>
      </w:pPr>
      <w:r>
        <w:rPr>
          <w:b/>
          <w:bCs/>
          <w:color w:val="000000"/>
          <w:kern w:val="0"/>
          <w:szCs w:val="21"/>
        </w:rPr>
        <w:t>（一）职业领域</w:t>
      </w:r>
    </w:p>
    <w:p w14:paraId="0F855A36">
      <w:pPr>
        <w:pStyle w:val="5"/>
        <w:keepNext/>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color w:val="000000"/>
          <w:sz w:val="18"/>
          <w:szCs w:val="18"/>
        </w:rPr>
      </w:pPr>
      <w:bookmarkStart w:id="0" w:name="_Ref132097609"/>
      <w:r>
        <w:rPr>
          <w:rFonts w:ascii="Times New Roman" w:hAnsi="Times New Roman" w:eastAsia="宋体"/>
          <w:b/>
          <w:bCs/>
          <w:color w:val="000000"/>
          <w:sz w:val="18"/>
          <w:szCs w:val="18"/>
        </w:rPr>
        <w:t>表</w:t>
      </w:r>
      <w:r>
        <w:rPr>
          <w:rFonts w:hint="default" w:ascii="Times New Roman" w:hAnsi="Times New Roman" w:eastAsia="宋体" w:cs="Times New Roman"/>
          <w:b/>
          <w:bCs/>
          <w:color w:val="000000"/>
          <w:sz w:val="18"/>
          <w:szCs w:val="18"/>
        </w:rPr>
        <w:fldChar w:fldCharType="begin"/>
      </w:r>
      <w:r>
        <w:rPr>
          <w:rFonts w:hint="default" w:ascii="Times New Roman" w:hAnsi="Times New Roman" w:eastAsia="宋体" w:cs="Times New Roman"/>
          <w:b/>
          <w:bCs/>
          <w:color w:val="000000"/>
          <w:sz w:val="18"/>
          <w:szCs w:val="18"/>
        </w:rPr>
        <w:instrText xml:space="preserve"> SEQ 表 \* ARABIC </w:instrText>
      </w:r>
      <w:r>
        <w:rPr>
          <w:rFonts w:hint="default" w:ascii="Times New Roman" w:hAnsi="Times New Roman" w:eastAsia="宋体" w:cs="Times New Roman"/>
          <w:b/>
          <w:bCs/>
          <w:color w:val="000000"/>
          <w:sz w:val="18"/>
          <w:szCs w:val="18"/>
        </w:rPr>
        <w:fldChar w:fldCharType="separate"/>
      </w:r>
      <w:r>
        <w:rPr>
          <w:rFonts w:hint="default" w:ascii="Times New Roman" w:hAnsi="Times New Roman" w:eastAsia="宋体" w:cs="Times New Roman"/>
          <w:b/>
          <w:bCs/>
          <w:color w:val="000000"/>
          <w:sz w:val="18"/>
          <w:szCs w:val="18"/>
        </w:rPr>
        <w:t>1</w:t>
      </w:r>
      <w:r>
        <w:rPr>
          <w:rFonts w:hint="default" w:ascii="Times New Roman" w:hAnsi="Times New Roman" w:eastAsia="宋体" w:cs="Times New Roman"/>
          <w:b/>
          <w:bCs/>
          <w:color w:val="000000"/>
          <w:sz w:val="18"/>
          <w:szCs w:val="18"/>
        </w:rPr>
        <w:fldChar w:fldCharType="end"/>
      </w:r>
      <w:bookmarkEnd w:id="0"/>
      <w:r>
        <w:rPr>
          <w:rFonts w:hint="eastAsia" w:ascii="Times New Roman" w:hAnsi="Times New Roman" w:eastAsia="宋体"/>
          <w:b/>
          <w:bCs/>
          <w:color w:val="000000"/>
          <w:sz w:val="18"/>
          <w:szCs w:val="18"/>
          <w:lang w:val="en-US" w:eastAsia="zh-CN"/>
        </w:rPr>
        <w:t xml:space="preserve"> </w:t>
      </w:r>
      <w:r>
        <w:rPr>
          <w:rFonts w:ascii="Times New Roman" w:hAnsi="Times New Roman" w:eastAsia="宋体"/>
          <w:b/>
          <w:bCs/>
          <w:color w:val="000000"/>
          <w:sz w:val="18"/>
          <w:szCs w:val="18"/>
        </w:rPr>
        <w:t>本专业职业面向</w:t>
      </w:r>
    </w:p>
    <w:tbl>
      <w:tblPr>
        <w:tblStyle w:val="13"/>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23"/>
        <w:gridCol w:w="1205"/>
        <w:gridCol w:w="1110"/>
        <w:gridCol w:w="1460"/>
        <w:gridCol w:w="1800"/>
        <w:gridCol w:w="1914"/>
      </w:tblGrid>
      <w:tr w14:paraId="0601E86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5" w:hRule="exact"/>
          <w:jc w:val="center"/>
        </w:trPr>
        <w:tc>
          <w:tcPr>
            <w:tcW w:w="1423" w:type="dxa"/>
            <w:shd w:val="clear" w:color="auto" w:fill="auto"/>
            <w:vAlign w:val="center"/>
          </w:tcPr>
          <w:p w14:paraId="4016F546">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所属专业大类（代码）</w:t>
            </w:r>
          </w:p>
        </w:tc>
        <w:tc>
          <w:tcPr>
            <w:tcW w:w="1205" w:type="dxa"/>
            <w:shd w:val="clear" w:color="auto" w:fill="auto"/>
            <w:vAlign w:val="center"/>
          </w:tcPr>
          <w:p w14:paraId="6D8049CE">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18"/>
                <w:szCs w:val="18"/>
                <w:lang w:val="en-US" w:eastAsia="zh-CN"/>
              </w:rPr>
            </w:pPr>
            <w:r>
              <w:rPr>
                <w:bCs/>
                <w:color w:val="000000"/>
                <w:kern w:val="0"/>
                <w:sz w:val="18"/>
                <w:szCs w:val="18"/>
              </w:rPr>
              <w:t>所属专业类</w:t>
            </w:r>
            <w:r>
              <w:rPr>
                <w:rFonts w:hint="eastAsia"/>
                <w:bCs/>
                <w:color w:val="000000"/>
                <w:kern w:val="0"/>
                <w:sz w:val="18"/>
                <w:szCs w:val="18"/>
                <w:lang w:eastAsia="zh-CN"/>
              </w:rPr>
              <w:t>（</w:t>
            </w:r>
            <w:r>
              <w:rPr>
                <w:rFonts w:hint="eastAsia"/>
                <w:bCs/>
                <w:color w:val="000000"/>
                <w:kern w:val="0"/>
                <w:sz w:val="18"/>
                <w:szCs w:val="18"/>
                <w:lang w:val="en-US" w:eastAsia="zh-CN"/>
              </w:rPr>
              <w:t>代码）</w:t>
            </w:r>
          </w:p>
          <w:p w14:paraId="7506E219">
            <w:pPr>
              <w:pStyle w:val="6"/>
              <w:keepNext w:val="0"/>
              <w:keepLines w:val="0"/>
              <w:pageBreakBefore w:val="0"/>
              <w:widowControl w:val="0"/>
              <w:kinsoku/>
              <w:wordWrap/>
              <w:overflowPunct/>
              <w:topLinePunct w:val="0"/>
              <w:autoSpaceDE/>
              <w:autoSpaceDN/>
              <w:bidi w:val="0"/>
              <w:adjustRightInd/>
              <w:snapToGrid/>
              <w:textAlignment w:val="auto"/>
              <w:rPr>
                <w:rFonts w:hint="eastAsia" w:eastAsia="宋体"/>
                <w:sz w:val="18"/>
                <w:szCs w:val="18"/>
                <w:lang w:eastAsia="zh-CN"/>
              </w:rPr>
            </w:pPr>
            <w:r>
              <w:rPr>
                <w:rFonts w:hint="eastAsia"/>
                <w:bCs/>
                <w:color w:val="000000"/>
                <w:kern w:val="0"/>
                <w:sz w:val="18"/>
                <w:szCs w:val="18"/>
                <w:lang w:eastAsia="zh-CN"/>
              </w:rPr>
              <w:t>（</w:t>
            </w:r>
          </w:p>
          <w:p w14:paraId="4D33F43F">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（代码）</w:t>
            </w:r>
          </w:p>
        </w:tc>
        <w:tc>
          <w:tcPr>
            <w:tcW w:w="1110" w:type="dxa"/>
            <w:shd w:val="clear" w:color="auto" w:fill="auto"/>
            <w:vAlign w:val="center"/>
          </w:tcPr>
          <w:p w14:paraId="50A89CA5">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对应行业（代码）</w:t>
            </w:r>
          </w:p>
        </w:tc>
        <w:tc>
          <w:tcPr>
            <w:tcW w:w="1460" w:type="dxa"/>
            <w:shd w:val="clear" w:color="auto" w:fill="auto"/>
            <w:vAlign w:val="center"/>
          </w:tcPr>
          <w:p w14:paraId="673EC059">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主要职业类别（代码）</w:t>
            </w:r>
          </w:p>
        </w:tc>
        <w:tc>
          <w:tcPr>
            <w:tcW w:w="1800" w:type="dxa"/>
            <w:shd w:val="clear" w:color="auto" w:fill="auto"/>
            <w:vAlign w:val="center"/>
          </w:tcPr>
          <w:p w14:paraId="391D2244">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主要岗位类别（或技术领域）</w:t>
            </w:r>
          </w:p>
        </w:tc>
        <w:tc>
          <w:tcPr>
            <w:tcW w:w="1914" w:type="dxa"/>
            <w:shd w:val="clear" w:color="auto" w:fill="auto"/>
            <w:vAlign w:val="center"/>
          </w:tcPr>
          <w:p w14:paraId="0D87267A">
            <w:pPr>
              <w:keepNext w:val="0"/>
              <w:keepLines w:val="0"/>
              <w:pageBreakBefore w:val="0"/>
              <w:widowControl w:val="0"/>
              <w:kinsoku/>
              <w:wordWrap/>
              <w:overflowPunct/>
              <w:topLinePunct w:val="0"/>
              <w:autoSpaceDE/>
              <w:autoSpaceDN/>
              <w:bidi w:val="0"/>
              <w:adjustRightInd/>
              <w:snapToGrid/>
              <w:jc w:val="center"/>
              <w:textAlignment w:val="auto"/>
              <w:rPr>
                <w:bCs/>
                <w:color w:val="000000"/>
                <w:kern w:val="0"/>
                <w:sz w:val="18"/>
                <w:szCs w:val="18"/>
              </w:rPr>
            </w:pPr>
            <w:r>
              <w:rPr>
                <w:bCs/>
                <w:color w:val="000000"/>
                <w:kern w:val="0"/>
                <w:sz w:val="18"/>
                <w:szCs w:val="18"/>
              </w:rPr>
              <w:t>职业资格证书或技能等级证书举例</w:t>
            </w:r>
          </w:p>
        </w:tc>
      </w:tr>
      <w:tr w14:paraId="6A73EF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7" w:hRule="exact"/>
          <w:jc w:val="center"/>
        </w:trPr>
        <w:tc>
          <w:tcPr>
            <w:tcW w:w="1423" w:type="dxa"/>
            <w:shd w:val="clear" w:color="auto" w:fill="auto"/>
            <w:vAlign w:val="center"/>
          </w:tcPr>
          <w:p w14:paraId="7CC92483">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Cs/>
                <w:color w:val="000000" w:themeColor="text1"/>
                <w:kern w:val="0"/>
                <w:sz w:val="18"/>
                <w:szCs w:val="18"/>
              </w:rPr>
            </w:pPr>
            <w:r>
              <w:rPr>
                <w:rFonts w:hint="eastAsia" w:ascii="宋体" w:hAnsi="宋体" w:cs="宋体"/>
                <w:color w:val="000000" w:themeColor="text1"/>
                <w:sz w:val="18"/>
                <w:szCs w:val="18"/>
              </w:rPr>
              <w:t>财经商贸大类（</w:t>
            </w:r>
            <w:r>
              <w:rPr>
                <w:rFonts w:hint="default" w:ascii="Times New Roman" w:hAnsi="Times New Roman" w:cs="Times New Roman"/>
                <w:color w:val="000000" w:themeColor="text1"/>
                <w:sz w:val="18"/>
                <w:szCs w:val="18"/>
              </w:rPr>
              <w:t>53</w:t>
            </w:r>
            <w:r>
              <w:rPr>
                <w:rFonts w:hint="eastAsia" w:ascii="宋体" w:hAnsi="宋体" w:cs="宋体"/>
                <w:color w:val="000000" w:themeColor="text1"/>
                <w:sz w:val="18"/>
                <w:szCs w:val="18"/>
              </w:rPr>
              <w:t>）</w:t>
            </w:r>
          </w:p>
        </w:tc>
        <w:tc>
          <w:tcPr>
            <w:tcW w:w="1205" w:type="dxa"/>
            <w:shd w:val="clear" w:color="auto" w:fill="auto"/>
            <w:vAlign w:val="center"/>
          </w:tcPr>
          <w:p w14:paraId="363AA69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Cs/>
                <w:color w:val="000000" w:themeColor="text1"/>
                <w:kern w:val="0"/>
                <w:sz w:val="18"/>
                <w:szCs w:val="18"/>
              </w:rPr>
            </w:pPr>
            <w:r>
              <w:rPr>
                <w:rFonts w:hint="eastAsia" w:ascii="宋体" w:hAnsi="宋体" w:cs="宋体"/>
                <w:color w:val="000000" w:themeColor="text1"/>
                <w:sz w:val="18"/>
                <w:szCs w:val="18"/>
              </w:rPr>
              <w:t>财务会计类（</w:t>
            </w:r>
            <w:r>
              <w:rPr>
                <w:rFonts w:hint="default" w:ascii="Times New Roman" w:hAnsi="Times New Roman" w:cs="Times New Roman"/>
                <w:color w:val="000000" w:themeColor="text1"/>
                <w:sz w:val="18"/>
                <w:szCs w:val="18"/>
              </w:rPr>
              <w:t>5303</w:t>
            </w:r>
            <w:r>
              <w:rPr>
                <w:rFonts w:hint="eastAsia" w:ascii="宋体" w:hAnsi="宋体" w:cs="宋体"/>
                <w:color w:val="000000" w:themeColor="text1"/>
                <w:sz w:val="18"/>
                <w:szCs w:val="18"/>
              </w:rPr>
              <w:t>）</w:t>
            </w:r>
          </w:p>
        </w:tc>
        <w:tc>
          <w:tcPr>
            <w:tcW w:w="1110" w:type="dxa"/>
            <w:shd w:val="clear" w:color="auto" w:fill="auto"/>
            <w:vAlign w:val="center"/>
          </w:tcPr>
          <w:p w14:paraId="00D192A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Cs/>
                <w:color w:val="000000" w:themeColor="text1"/>
                <w:kern w:val="0"/>
                <w:sz w:val="18"/>
                <w:szCs w:val="18"/>
              </w:rPr>
            </w:pPr>
            <w:r>
              <w:rPr>
                <w:rFonts w:hint="eastAsia" w:ascii="宋体" w:hAnsi="宋体" w:cs="宋体"/>
                <w:color w:val="000000" w:themeColor="text1"/>
                <w:sz w:val="18"/>
                <w:szCs w:val="18"/>
              </w:rPr>
              <w:t>会计、审计及税务服务（</w:t>
            </w:r>
            <w:r>
              <w:rPr>
                <w:rFonts w:hint="default" w:ascii="Times New Roman" w:hAnsi="Times New Roman" w:cs="Times New Roman"/>
                <w:color w:val="000000" w:themeColor="text1"/>
                <w:sz w:val="18"/>
                <w:szCs w:val="18"/>
              </w:rPr>
              <w:t>7241</w:t>
            </w:r>
            <w:r>
              <w:rPr>
                <w:rFonts w:hint="eastAsia" w:ascii="宋体" w:hAnsi="宋体" w:cs="宋体"/>
                <w:color w:val="000000" w:themeColor="text1"/>
                <w:sz w:val="18"/>
                <w:szCs w:val="18"/>
              </w:rPr>
              <w:t>）</w:t>
            </w:r>
          </w:p>
        </w:tc>
        <w:tc>
          <w:tcPr>
            <w:tcW w:w="1460" w:type="dxa"/>
            <w:shd w:val="clear" w:color="auto" w:fill="auto"/>
            <w:vAlign w:val="center"/>
          </w:tcPr>
          <w:p w14:paraId="0C02E3C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统计人员（</w:t>
            </w:r>
            <w:r>
              <w:rPr>
                <w:rFonts w:hint="default" w:ascii="Times New Roman" w:hAnsi="Times New Roman" w:cs="Times New Roman"/>
                <w:sz w:val="18"/>
                <w:szCs w:val="18"/>
              </w:rPr>
              <w:t>2</w:t>
            </w:r>
            <w:r>
              <w:rPr>
                <w:rFonts w:hint="eastAsia" w:ascii="宋体" w:hAnsi="宋体" w:cs="宋体"/>
                <w:sz w:val="18"/>
                <w:szCs w:val="18"/>
              </w:rPr>
              <w:t>-</w:t>
            </w:r>
            <w:r>
              <w:rPr>
                <w:rFonts w:hint="default" w:ascii="Times New Roman" w:hAnsi="Times New Roman" w:cs="Times New Roman"/>
                <w:sz w:val="18"/>
                <w:szCs w:val="18"/>
              </w:rPr>
              <w:t>06</w:t>
            </w:r>
            <w:r>
              <w:rPr>
                <w:rFonts w:hint="eastAsia" w:ascii="宋体" w:hAnsi="宋体" w:cs="宋体"/>
                <w:sz w:val="18"/>
                <w:szCs w:val="18"/>
              </w:rPr>
              <w:t>-</w:t>
            </w:r>
            <w:r>
              <w:rPr>
                <w:rFonts w:hint="default" w:ascii="Times New Roman" w:hAnsi="Times New Roman" w:cs="Times New Roman"/>
                <w:sz w:val="18"/>
                <w:szCs w:val="18"/>
              </w:rPr>
              <w:t>02</w:t>
            </w:r>
            <w:r>
              <w:rPr>
                <w:rFonts w:hint="eastAsia" w:ascii="宋体" w:hAnsi="宋体" w:cs="宋体"/>
                <w:sz w:val="18"/>
                <w:szCs w:val="18"/>
              </w:rPr>
              <w:t>-</w:t>
            </w:r>
            <w:r>
              <w:rPr>
                <w:rFonts w:hint="default" w:ascii="Times New Roman" w:hAnsi="Times New Roman" w:cs="Times New Roman"/>
                <w:sz w:val="18"/>
                <w:szCs w:val="18"/>
              </w:rPr>
              <w:t>00</w:t>
            </w:r>
            <w:r>
              <w:rPr>
                <w:rFonts w:hint="eastAsia" w:ascii="宋体" w:hAnsi="宋体" w:cs="宋体"/>
                <w:sz w:val="18"/>
                <w:szCs w:val="18"/>
              </w:rPr>
              <w:t>）</w:t>
            </w:r>
          </w:p>
          <w:p w14:paraId="73AA952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会计人员（</w:t>
            </w:r>
            <w:r>
              <w:rPr>
                <w:rFonts w:hint="default" w:ascii="Times New Roman" w:hAnsi="Times New Roman" w:cs="Times New Roman"/>
                <w:sz w:val="18"/>
                <w:szCs w:val="18"/>
              </w:rPr>
              <w:t>2</w:t>
            </w:r>
            <w:r>
              <w:rPr>
                <w:rFonts w:hint="eastAsia" w:ascii="宋体" w:hAnsi="宋体" w:cs="宋体"/>
                <w:sz w:val="18"/>
                <w:szCs w:val="18"/>
              </w:rPr>
              <w:t>-</w:t>
            </w:r>
            <w:r>
              <w:rPr>
                <w:rFonts w:hint="default" w:ascii="Times New Roman" w:hAnsi="Times New Roman" w:cs="Times New Roman"/>
                <w:sz w:val="18"/>
                <w:szCs w:val="18"/>
              </w:rPr>
              <w:t>06</w:t>
            </w:r>
            <w:r>
              <w:rPr>
                <w:rFonts w:hint="eastAsia" w:ascii="宋体" w:hAnsi="宋体" w:cs="宋体"/>
                <w:sz w:val="18"/>
                <w:szCs w:val="18"/>
              </w:rPr>
              <w:t>-</w:t>
            </w:r>
            <w:r>
              <w:rPr>
                <w:rFonts w:hint="default" w:ascii="Times New Roman" w:hAnsi="Times New Roman" w:cs="Times New Roman"/>
                <w:sz w:val="18"/>
                <w:szCs w:val="18"/>
              </w:rPr>
              <w:t>03</w:t>
            </w:r>
            <w:r>
              <w:rPr>
                <w:rFonts w:hint="eastAsia" w:ascii="宋体" w:hAnsi="宋体" w:cs="宋体"/>
                <w:sz w:val="18"/>
                <w:szCs w:val="18"/>
              </w:rPr>
              <w:t>-</w:t>
            </w:r>
            <w:r>
              <w:rPr>
                <w:rFonts w:hint="default" w:ascii="Times New Roman" w:hAnsi="Times New Roman" w:cs="Times New Roman"/>
                <w:sz w:val="18"/>
                <w:szCs w:val="18"/>
              </w:rPr>
              <w:t>00</w:t>
            </w:r>
            <w:r>
              <w:rPr>
                <w:rFonts w:hint="eastAsia" w:ascii="宋体" w:hAnsi="宋体" w:cs="宋体"/>
                <w:sz w:val="18"/>
                <w:szCs w:val="18"/>
              </w:rPr>
              <w:t>）</w:t>
            </w:r>
          </w:p>
          <w:p w14:paraId="3A62BDE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z w:val="18"/>
                <w:szCs w:val="18"/>
              </w:rPr>
            </w:pPr>
            <w:r>
              <w:rPr>
                <w:rFonts w:hint="eastAsia" w:ascii="宋体" w:hAnsi="宋体" w:cs="宋体"/>
                <w:sz w:val="18"/>
                <w:szCs w:val="18"/>
              </w:rPr>
              <w:t>审计人员</w:t>
            </w:r>
          </w:p>
          <w:p w14:paraId="43E338CF">
            <w:pPr>
              <w:pStyle w:val="2"/>
              <w:keepNext w:val="0"/>
              <w:keepLines w:val="0"/>
              <w:pageBreakBefore w:val="0"/>
              <w:widowControl w:val="0"/>
              <w:kinsoku/>
              <w:wordWrap/>
              <w:overflowPunct/>
              <w:topLinePunct w:val="0"/>
              <w:autoSpaceDE/>
              <w:autoSpaceDN/>
              <w:bidi w:val="0"/>
              <w:adjustRightInd/>
              <w:snapToGrid/>
              <w:textAlignment w:val="auto"/>
              <w:rPr>
                <w:rFonts w:ascii="宋体" w:hAnsi="宋体" w:cs="宋体"/>
                <w:sz w:val="18"/>
                <w:szCs w:val="18"/>
              </w:rPr>
            </w:pPr>
            <w:r>
              <w:rPr>
                <w:rFonts w:hint="eastAsia" w:ascii="宋体" w:hAnsi="宋体" w:cs="宋体"/>
                <w:sz w:val="18"/>
                <w:szCs w:val="18"/>
              </w:rPr>
              <w:t>（</w:t>
            </w:r>
            <w:r>
              <w:rPr>
                <w:rFonts w:hint="default" w:ascii="Times New Roman" w:hAnsi="Times New Roman" w:cs="Times New Roman"/>
                <w:sz w:val="18"/>
                <w:szCs w:val="18"/>
              </w:rPr>
              <w:t>2</w:t>
            </w:r>
            <w:r>
              <w:rPr>
                <w:rFonts w:hint="eastAsia" w:ascii="宋体" w:hAnsi="宋体" w:cs="宋体"/>
                <w:sz w:val="18"/>
                <w:szCs w:val="18"/>
              </w:rPr>
              <w:t>-</w:t>
            </w:r>
            <w:r>
              <w:rPr>
                <w:rFonts w:hint="default" w:ascii="Times New Roman" w:hAnsi="Times New Roman" w:cs="Times New Roman"/>
                <w:sz w:val="18"/>
                <w:szCs w:val="18"/>
              </w:rPr>
              <w:t>06</w:t>
            </w:r>
            <w:r>
              <w:rPr>
                <w:rFonts w:hint="eastAsia" w:ascii="宋体" w:hAnsi="宋体" w:cs="宋体"/>
                <w:sz w:val="18"/>
                <w:szCs w:val="18"/>
              </w:rPr>
              <w:t>-</w:t>
            </w:r>
            <w:r>
              <w:rPr>
                <w:rFonts w:hint="default" w:ascii="Times New Roman" w:hAnsi="Times New Roman" w:cs="Times New Roman"/>
                <w:sz w:val="18"/>
                <w:szCs w:val="18"/>
              </w:rPr>
              <w:t>04</w:t>
            </w:r>
            <w:r>
              <w:rPr>
                <w:rFonts w:hint="eastAsia" w:ascii="宋体" w:hAnsi="宋体" w:cs="宋体"/>
                <w:sz w:val="18"/>
                <w:szCs w:val="18"/>
              </w:rPr>
              <w:t>-</w:t>
            </w:r>
            <w:r>
              <w:rPr>
                <w:rFonts w:hint="default" w:ascii="Times New Roman" w:hAnsi="Times New Roman" w:cs="Times New Roman"/>
                <w:sz w:val="18"/>
                <w:szCs w:val="18"/>
              </w:rPr>
              <w:t>00</w:t>
            </w:r>
            <w:r>
              <w:rPr>
                <w:rFonts w:hint="eastAsia" w:ascii="宋体" w:hAnsi="宋体" w:cs="宋体"/>
                <w:sz w:val="18"/>
                <w:szCs w:val="18"/>
              </w:rPr>
              <w:t>）</w:t>
            </w:r>
          </w:p>
        </w:tc>
        <w:tc>
          <w:tcPr>
            <w:tcW w:w="1800" w:type="dxa"/>
            <w:shd w:val="clear" w:color="auto" w:fill="auto"/>
            <w:vAlign w:val="center"/>
          </w:tcPr>
          <w:p w14:paraId="0E772914">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Cs/>
                <w:color w:val="000000" w:themeColor="text1"/>
                <w:kern w:val="0"/>
                <w:sz w:val="18"/>
                <w:szCs w:val="18"/>
              </w:rPr>
            </w:pPr>
            <w:r>
              <w:rPr>
                <w:rFonts w:hint="eastAsia" w:ascii="宋体" w:hAnsi="宋体" w:cs="宋体"/>
                <w:color w:val="000000" w:themeColor="text1"/>
                <w:sz w:val="18"/>
                <w:szCs w:val="18"/>
              </w:rPr>
              <w:t>出纳、</w:t>
            </w:r>
            <w:r>
              <w:rPr>
                <w:rFonts w:hint="eastAsia" w:ascii="宋体" w:hAnsi="宋体" w:cs="宋体"/>
                <w:color w:val="000000" w:themeColor="text1"/>
                <w:sz w:val="18"/>
                <w:szCs w:val="18"/>
                <w:lang w:val="en-US" w:eastAsia="zh-CN"/>
              </w:rPr>
              <w:t>核算</w:t>
            </w:r>
            <w:r>
              <w:rPr>
                <w:rFonts w:hint="eastAsia" w:ascii="宋体" w:hAnsi="宋体" w:cs="宋体"/>
                <w:color w:val="000000" w:themeColor="text1"/>
                <w:sz w:val="18"/>
                <w:szCs w:val="18"/>
              </w:rPr>
              <w:t>会计、成本会计、</w:t>
            </w:r>
            <w:r>
              <w:rPr>
                <w:rFonts w:hint="eastAsia" w:ascii="宋体" w:hAnsi="宋体" w:cs="宋体"/>
                <w:color w:val="000000" w:themeColor="text1"/>
                <w:sz w:val="18"/>
                <w:szCs w:val="18"/>
                <w:lang w:val="en-US" w:eastAsia="zh-CN"/>
              </w:rPr>
              <w:t>财务</w:t>
            </w:r>
            <w:r>
              <w:rPr>
                <w:rFonts w:hint="eastAsia" w:ascii="宋体" w:hAnsi="宋体" w:cs="宋体"/>
                <w:color w:val="000000" w:themeColor="text1"/>
                <w:sz w:val="18"/>
                <w:szCs w:val="18"/>
              </w:rPr>
              <w:t>分析</w:t>
            </w:r>
            <w:r>
              <w:rPr>
                <w:rFonts w:hint="eastAsia" w:ascii="宋体" w:hAnsi="宋体" w:cs="宋体"/>
                <w:color w:val="000000" w:themeColor="text1"/>
                <w:sz w:val="18"/>
                <w:szCs w:val="18"/>
                <w:lang w:val="en-US" w:eastAsia="zh-CN"/>
              </w:rPr>
              <w:t>专员</w:t>
            </w:r>
            <w:r>
              <w:rPr>
                <w:rFonts w:hint="eastAsia" w:ascii="宋体" w:hAnsi="宋体" w:cs="宋体"/>
                <w:color w:val="000000" w:themeColor="text1"/>
                <w:sz w:val="18"/>
                <w:szCs w:val="18"/>
              </w:rPr>
              <w:t>、审计助理</w:t>
            </w:r>
          </w:p>
        </w:tc>
        <w:tc>
          <w:tcPr>
            <w:tcW w:w="1914" w:type="dxa"/>
            <w:shd w:val="clear" w:color="auto" w:fill="auto"/>
            <w:vAlign w:val="center"/>
          </w:tcPr>
          <w:p w14:paraId="6493FB2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Cs/>
                <w:color w:val="000000" w:themeColor="text1"/>
                <w:kern w:val="0"/>
                <w:sz w:val="18"/>
                <w:szCs w:val="18"/>
              </w:rPr>
            </w:pPr>
            <w:r>
              <w:rPr>
                <w:rFonts w:hint="eastAsia" w:ascii="宋体" w:hAnsi="宋体"/>
                <w:color w:val="000000" w:themeColor="text1"/>
                <w:sz w:val="18"/>
                <w:szCs w:val="18"/>
              </w:rPr>
              <w:t>初级会计师、中级会计师、审计师、</w:t>
            </w:r>
            <w:r>
              <w:rPr>
                <w:rFonts w:hint="eastAsia" w:ascii="宋体" w:hAnsi="宋体"/>
                <w:color w:val="000000" w:themeColor="text1"/>
                <w:sz w:val="18"/>
                <w:szCs w:val="18"/>
                <w:lang w:val="en-US" w:eastAsia="zh-CN"/>
              </w:rPr>
              <w:t>注册会计师、资产评估师、税务师、</w:t>
            </w:r>
            <w:r>
              <w:rPr>
                <w:rFonts w:hint="eastAsia" w:ascii="宋体" w:hAnsi="宋体"/>
                <w:color w:val="000000" w:themeColor="text1"/>
                <w:sz w:val="18"/>
                <w:szCs w:val="18"/>
              </w:rPr>
              <w:t>财务共享服务证书、</w:t>
            </w:r>
            <w:r>
              <w:rPr>
                <w:rFonts w:hint="eastAsia" w:ascii="宋体" w:hAnsi="宋体"/>
                <w:color w:val="000000" w:themeColor="text1"/>
                <w:sz w:val="18"/>
                <w:szCs w:val="18"/>
                <w:lang w:val="en-US" w:eastAsia="zh-CN"/>
              </w:rPr>
              <w:t>财务数字化</w:t>
            </w:r>
            <w:r>
              <w:rPr>
                <w:rFonts w:hint="eastAsia" w:ascii="宋体" w:hAnsi="宋体"/>
                <w:color w:val="000000" w:themeColor="text1"/>
                <w:sz w:val="18"/>
                <w:szCs w:val="18"/>
              </w:rPr>
              <w:t>证书</w:t>
            </w:r>
          </w:p>
        </w:tc>
      </w:tr>
    </w:tbl>
    <w:p w14:paraId="79A6E564">
      <w:pPr>
        <w:spacing w:line="400" w:lineRule="exact"/>
        <w:ind w:firstLine="422" w:firstLineChars="200"/>
        <w:jc w:val="left"/>
        <w:rPr>
          <w:b/>
          <w:bCs/>
          <w:color w:val="000000"/>
          <w:kern w:val="0"/>
          <w:szCs w:val="21"/>
        </w:rPr>
      </w:pPr>
      <w:r>
        <w:rPr>
          <w:b/>
          <w:bCs/>
          <w:color w:val="000000"/>
          <w:kern w:val="0"/>
          <w:szCs w:val="21"/>
        </w:rPr>
        <w:t>（二）工作岗位</w:t>
      </w:r>
    </w:p>
    <w:p w14:paraId="1429A9DD">
      <w:pPr>
        <w:pStyle w:val="5"/>
        <w:keepNext/>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bCs/>
          <w:sz w:val="18"/>
          <w:szCs w:val="18"/>
        </w:rPr>
      </w:pPr>
      <w:r>
        <w:rPr>
          <w:rFonts w:ascii="Times New Roman" w:hAnsi="Times New Roman" w:eastAsia="宋体"/>
          <w:b/>
          <w:bCs/>
          <w:sz w:val="18"/>
          <w:szCs w:val="18"/>
        </w:rPr>
        <w:t xml:space="preserve">表 </w:t>
      </w:r>
      <w:r>
        <w:rPr>
          <w:rFonts w:hint="default" w:ascii="Times New Roman" w:hAnsi="Times New Roman" w:eastAsia="宋体" w:cs="Times New Roman"/>
          <w:b/>
          <w:bCs/>
          <w:sz w:val="18"/>
          <w:szCs w:val="18"/>
        </w:rPr>
        <w:fldChar w:fldCharType="begin"/>
      </w:r>
      <w:r>
        <w:rPr>
          <w:rFonts w:hint="default" w:ascii="Times New Roman" w:hAnsi="Times New Roman" w:eastAsia="宋体" w:cs="Times New Roman"/>
          <w:b/>
          <w:bCs/>
          <w:sz w:val="18"/>
          <w:szCs w:val="18"/>
        </w:rPr>
        <w:instrText xml:space="preserve"> SEQ 表 \* ARABIC </w:instrText>
      </w:r>
      <w:r>
        <w:rPr>
          <w:rFonts w:hint="default" w:ascii="Times New Roman" w:hAnsi="Times New Roman" w:eastAsia="宋体" w:cs="Times New Roman"/>
          <w:b/>
          <w:bCs/>
          <w:sz w:val="18"/>
          <w:szCs w:val="18"/>
        </w:rPr>
        <w:fldChar w:fldCharType="separate"/>
      </w:r>
      <w:r>
        <w:rPr>
          <w:rFonts w:hint="default" w:ascii="Times New Roman" w:hAnsi="Times New Roman" w:eastAsia="宋体" w:cs="Times New Roman"/>
          <w:b/>
          <w:bCs/>
          <w:sz w:val="18"/>
          <w:szCs w:val="18"/>
        </w:rPr>
        <w:t>2</w:t>
      </w:r>
      <w:r>
        <w:rPr>
          <w:rFonts w:hint="default" w:ascii="Times New Roman" w:hAnsi="Times New Roman" w:eastAsia="宋体" w:cs="Times New Roman"/>
          <w:b/>
          <w:bCs/>
          <w:sz w:val="18"/>
          <w:szCs w:val="18"/>
        </w:rPr>
        <w:fldChar w:fldCharType="end"/>
      </w:r>
      <w:r>
        <w:rPr>
          <w:rFonts w:ascii="Times New Roman" w:hAnsi="Times New Roman" w:eastAsia="宋体"/>
          <w:b/>
          <w:bCs/>
          <w:sz w:val="18"/>
          <w:szCs w:val="18"/>
        </w:rPr>
        <w:t>本专业工作岗位</w:t>
      </w:r>
    </w:p>
    <w:tbl>
      <w:tblPr>
        <w:tblStyle w:val="13"/>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76"/>
        <w:gridCol w:w="1980"/>
        <w:gridCol w:w="6432"/>
      </w:tblGrid>
      <w:tr w14:paraId="5D77EA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576" w:type="dxa"/>
            <w:shd w:val="clear" w:color="auto" w:fill="auto"/>
          </w:tcPr>
          <w:p w14:paraId="63A0CB11">
            <w:pPr>
              <w:jc w:val="center"/>
              <w:rPr>
                <w:color w:val="000000"/>
                <w:kern w:val="0"/>
                <w:sz w:val="18"/>
                <w:szCs w:val="18"/>
              </w:rPr>
            </w:pPr>
            <w:r>
              <w:rPr>
                <w:color w:val="000000"/>
                <w:kern w:val="0"/>
                <w:sz w:val="18"/>
                <w:szCs w:val="18"/>
              </w:rPr>
              <w:t>序号</w:t>
            </w:r>
          </w:p>
        </w:tc>
        <w:tc>
          <w:tcPr>
            <w:tcW w:w="1980" w:type="dxa"/>
            <w:shd w:val="clear" w:color="auto" w:fill="auto"/>
          </w:tcPr>
          <w:p w14:paraId="2C75AFE1">
            <w:pPr>
              <w:jc w:val="center"/>
              <w:rPr>
                <w:color w:val="000000"/>
                <w:kern w:val="0"/>
                <w:sz w:val="18"/>
                <w:szCs w:val="18"/>
              </w:rPr>
            </w:pPr>
            <w:r>
              <w:rPr>
                <w:color w:val="000000"/>
                <w:kern w:val="0"/>
                <w:sz w:val="18"/>
                <w:szCs w:val="18"/>
              </w:rPr>
              <w:t>岗位名称</w:t>
            </w:r>
          </w:p>
        </w:tc>
        <w:tc>
          <w:tcPr>
            <w:tcW w:w="6432" w:type="dxa"/>
            <w:shd w:val="clear" w:color="auto" w:fill="auto"/>
          </w:tcPr>
          <w:p w14:paraId="54E36D30">
            <w:pPr>
              <w:jc w:val="center"/>
              <w:rPr>
                <w:color w:val="000000"/>
                <w:kern w:val="0"/>
                <w:sz w:val="18"/>
                <w:szCs w:val="18"/>
              </w:rPr>
            </w:pPr>
            <w:r>
              <w:rPr>
                <w:color w:val="000000"/>
                <w:kern w:val="0"/>
                <w:sz w:val="18"/>
                <w:szCs w:val="18"/>
              </w:rPr>
              <w:t>描述</w:t>
            </w:r>
          </w:p>
        </w:tc>
      </w:tr>
      <w:tr w14:paraId="044FFBB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576" w:type="dxa"/>
            <w:shd w:val="clear" w:color="auto" w:fill="auto"/>
            <w:vAlign w:val="center"/>
          </w:tcPr>
          <w:p w14:paraId="00F82967">
            <w:pPr>
              <w:jc w:val="center"/>
              <w:rPr>
                <w:color w:val="000000" w:themeColor="text1"/>
                <w:kern w:val="0"/>
                <w:sz w:val="18"/>
                <w:szCs w:val="18"/>
              </w:rPr>
            </w:pPr>
            <w:r>
              <w:rPr>
                <w:rFonts w:hint="default" w:ascii="Times New Roman" w:hAnsi="Times New Roman" w:cs="Times New Roman"/>
                <w:color w:val="000000" w:themeColor="text1"/>
                <w:kern w:val="0"/>
                <w:sz w:val="18"/>
                <w:szCs w:val="18"/>
              </w:rPr>
              <w:t>1</w:t>
            </w:r>
          </w:p>
        </w:tc>
        <w:tc>
          <w:tcPr>
            <w:tcW w:w="1980" w:type="dxa"/>
            <w:shd w:val="clear" w:color="auto" w:fill="auto"/>
            <w:vAlign w:val="center"/>
          </w:tcPr>
          <w:p w14:paraId="0B1B4881">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出纳</w:t>
            </w:r>
          </w:p>
        </w:tc>
        <w:tc>
          <w:tcPr>
            <w:tcW w:w="6432" w:type="dxa"/>
            <w:shd w:val="clear" w:color="auto" w:fill="auto"/>
            <w:vAlign w:val="center"/>
          </w:tcPr>
          <w:p w14:paraId="73FEC0FC">
            <w:pPr>
              <w:jc w:val="left"/>
              <w:rPr>
                <w:rFonts w:ascii="宋体" w:hAnsi="宋体" w:cs="宋体"/>
                <w:color w:val="000000" w:themeColor="text1"/>
                <w:kern w:val="0"/>
                <w:sz w:val="18"/>
                <w:szCs w:val="18"/>
              </w:rPr>
            </w:pPr>
            <w:r>
              <w:rPr>
                <w:rFonts w:hint="eastAsia" w:ascii="宋体" w:hAnsi="宋体" w:cs="宋体"/>
                <w:color w:val="000000" w:themeColor="text1"/>
                <w:spacing w:val="9"/>
                <w:sz w:val="18"/>
                <w:szCs w:val="18"/>
                <w:shd w:val="clear" w:color="auto" w:fill="FFFFFF"/>
                <w:lang w:val="en-US" w:eastAsia="zh-CN"/>
              </w:rPr>
              <w:t>负责公司现金、票据和银行存款的保管、收付和记录；办理电汇、信汇有关手续，协助会计做好账务处理，编制统计报表，健全统计台账等</w:t>
            </w:r>
            <w:r>
              <w:rPr>
                <w:rFonts w:hint="eastAsia" w:ascii="宋体" w:hAnsi="宋体" w:cs="宋体"/>
                <w:color w:val="000000" w:themeColor="text1"/>
                <w:spacing w:val="9"/>
                <w:sz w:val="18"/>
                <w:szCs w:val="18"/>
                <w:shd w:val="clear" w:color="auto" w:fill="FFFFFF"/>
              </w:rPr>
              <w:t>。</w:t>
            </w:r>
          </w:p>
        </w:tc>
      </w:tr>
      <w:tr w14:paraId="0CCCC4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shd w:val="clear" w:color="auto" w:fill="auto"/>
            <w:vAlign w:val="center"/>
          </w:tcPr>
          <w:p w14:paraId="48B0213A">
            <w:pPr>
              <w:jc w:val="center"/>
              <w:rPr>
                <w:color w:val="000000" w:themeColor="text1"/>
                <w:kern w:val="0"/>
                <w:sz w:val="18"/>
                <w:szCs w:val="18"/>
              </w:rPr>
            </w:pPr>
            <w:r>
              <w:rPr>
                <w:rFonts w:hint="default" w:ascii="Times New Roman" w:hAnsi="Times New Roman" w:cs="Times New Roman"/>
                <w:color w:val="000000" w:themeColor="text1"/>
                <w:kern w:val="0"/>
                <w:sz w:val="18"/>
                <w:szCs w:val="18"/>
              </w:rPr>
              <w:t>2</w:t>
            </w:r>
          </w:p>
        </w:tc>
        <w:tc>
          <w:tcPr>
            <w:tcW w:w="1980" w:type="dxa"/>
            <w:shd w:val="clear" w:color="auto" w:fill="auto"/>
            <w:vAlign w:val="center"/>
          </w:tcPr>
          <w:p w14:paraId="499568D5">
            <w:pPr>
              <w:jc w:val="center"/>
              <w:rPr>
                <w:rFonts w:hint="default" w:ascii="宋体" w:hAnsi="宋体" w:eastAsia="宋体" w:cs="宋体"/>
                <w:color w:val="000000" w:themeColor="text1"/>
                <w:kern w:val="0"/>
                <w:sz w:val="18"/>
                <w:szCs w:val="18"/>
                <w:lang w:val="en-US" w:eastAsia="zh-CN"/>
              </w:rPr>
            </w:pPr>
            <w:r>
              <w:rPr>
                <w:rFonts w:hint="eastAsia" w:ascii="宋体" w:hAnsi="宋体" w:cs="宋体"/>
                <w:color w:val="000000" w:themeColor="text1"/>
                <w:sz w:val="18"/>
                <w:szCs w:val="18"/>
                <w:lang w:val="en-US" w:eastAsia="zh-CN"/>
              </w:rPr>
              <w:t>核算会计</w:t>
            </w:r>
          </w:p>
        </w:tc>
        <w:tc>
          <w:tcPr>
            <w:tcW w:w="6432" w:type="dxa"/>
            <w:shd w:val="clear" w:color="auto" w:fill="auto"/>
            <w:vAlign w:val="center"/>
          </w:tcPr>
          <w:p w14:paraId="029CABF6">
            <w:pPr>
              <w:jc w:val="left"/>
              <w:rPr>
                <w:rFonts w:ascii="宋体" w:hAnsi="宋体" w:cs="宋体"/>
                <w:color w:val="000000" w:themeColor="text1"/>
                <w:kern w:val="0"/>
                <w:sz w:val="18"/>
                <w:szCs w:val="18"/>
              </w:rPr>
            </w:pPr>
            <w:r>
              <w:rPr>
                <w:rFonts w:hint="eastAsia"/>
                <w:color w:val="000000" w:themeColor="text1"/>
                <w:sz w:val="18"/>
                <w:szCs w:val="18"/>
                <w:lang w:val="en-US" w:eastAsia="zh-CN"/>
              </w:rPr>
              <w:t>审核费用报销单据及合同，编制记账凭证，报税，设置核算账簿体系，定期对资产进行盘点，编制资金运营周报及资金月度计划执行情况表，</w:t>
            </w:r>
            <w:r>
              <w:rPr>
                <w:color w:val="000000" w:themeColor="text1"/>
                <w:sz w:val="18"/>
                <w:szCs w:val="18"/>
              </w:rPr>
              <w:t>档案管理等</w:t>
            </w:r>
            <w:r>
              <w:rPr>
                <w:rFonts w:hint="eastAsia"/>
                <w:color w:val="000000" w:themeColor="text1"/>
                <w:sz w:val="18"/>
                <w:szCs w:val="18"/>
              </w:rPr>
              <w:t>。</w:t>
            </w:r>
          </w:p>
        </w:tc>
      </w:tr>
      <w:tr w14:paraId="60804E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shd w:val="clear" w:color="auto" w:fill="auto"/>
            <w:vAlign w:val="center"/>
          </w:tcPr>
          <w:p w14:paraId="2BCCCA64">
            <w:pPr>
              <w:jc w:val="center"/>
              <w:rPr>
                <w:color w:val="000000" w:themeColor="text1"/>
                <w:kern w:val="0"/>
                <w:sz w:val="18"/>
                <w:szCs w:val="18"/>
              </w:rPr>
            </w:pPr>
            <w:r>
              <w:rPr>
                <w:rFonts w:hint="default" w:ascii="Times New Roman" w:hAnsi="Times New Roman" w:cs="Times New Roman"/>
                <w:color w:val="000000" w:themeColor="text1"/>
                <w:kern w:val="0"/>
                <w:sz w:val="18"/>
                <w:szCs w:val="18"/>
              </w:rPr>
              <w:t>3</w:t>
            </w:r>
          </w:p>
        </w:tc>
        <w:tc>
          <w:tcPr>
            <w:tcW w:w="1980" w:type="dxa"/>
            <w:shd w:val="clear" w:color="auto" w:fill="auto"/>
            <w:vAlign w:val="center"/>
          </w:tcPr>
          <w:p w14:paraId="6FE3D440">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成本会计</w:t>
            </w:r>
          </w:p>
        </w:tc>
        <w:tc>
          <w:tcPr>
            <w:tcW w:w="6432" w:type="dxa"/>
            <w:shd w:val="clear" w:color="auto" w:fill="auto"/>
            <w:vAlign w:val="center"/>
          </w:tcPr>
          <w:p w14:paraId="6B19E3BC">
            <w:pPr>
              <w:jc w:val="left"/>
              <w:rPr>
                <w:rFonts w:ascii="宋体" w:hAnsi="宋体" w:cs="宋体"/>
                <w:color w:val="000000" w:themeColor="text1"/>
                <w:kern w:val="0"/>
                <w:sz w:val="18"/>
                <w:szCs w:val="18"/>
              </w:rPr>
            </w:pPr>
            <w:r>
              <w:rPr>
                <w:rFonts w:hint="eastAsia" w:ascii="宋体" w:hAnsi="宋体" w:cs="宋体"/>
                <w:color w:val="000000" w:themeColor="text1"/>
                <w:sz w:val="18"/>
                <w:szCs w:val="18"/>
                <w:lang w:val="en-US" w:eastAsia="zh-CN"/>
              </w:rPr>
              <w:t>成本核算，各项材料统计核算和相关业务记账，往来对账和供应商应付账款对账，重要物资和材料的采购成本分析等</w:t>
            </w:r>
            <w:r>
              <w:rPr>
                <w:rFonts w:hint="eastAsia" w:ascii="宋体" w:hAnsi="宋体" w:cs="宋体"/>
                <w:color w:val="000000" w:themeColor="text1"/>
                <w:sz w:val="18"/>
                <w:szCs w:val="18"/>
              </w:rPr>
              <w:t>。</w:t>
            </w:r>
          </w:p>
        </w:tc>
      </w:tr>
      <w:tr w14:paraId="23A7C04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shd w:val="clear" w:color="auto" w:fill="auto"/>
            <w:vAlign w:val="center"/>
          </w:tcPr>
          <w:p w14:paraId="1CB0D01B">
            <w:pPr>
              <w:jc w:val="center"/>
              <w:rPr>
                <w:rFonts w:hint="default"/>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4</w:t>
            </w:r>
          </w:p>
        </w:tc>
        <w:tc>
          <w:tcPr>
            <w:tcW w:w="1980" w:type="dxa"/>
            <w:shd w:val="clear" w:color="auto" w:fill="auto"/>
            <w:vAlign w:val="center"/>
          </w:tcPr>
          <w:p w14:paraId="6D99DD38">
            <w:pPr>
              <w:jc w:val="center"/>
              <w:rPr>
                <w:rFonts w:hint="default" w:ascii="宋体" w:hAnsi="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财务分析专员</w:t>
            </w:r>
          </w:p>
        </w:tc>
        <w:tc>
          <w:tcPr>
            <w:tcW w:w="6432" w:type="dxa"/>
            <w:shd w:val="clear" w:color="auto" w:fill="auto"/>
            <w:vAlign w:val="center"/>
          </w:tcPr>
          <w:p w14:paraId="3D1570B7">
            <w:pPr>
              <w:widowControl/>
              <w:shd w:val="clear" w:color="auto" w:fill="FFFEFE"/>
              <w:jc w:val="left"/>
              <w:rPr>
                <w:rFonts w:hint="default" w:ascii="宋体" w:hAnsi="宋体" w:cs="宋体"/>
                <w:color w:val="000000" w:themeColor="text1"/>
                <w:kern w:val="0"/>
                <w:sz w:val="18"/>
                <w:szCs w:val="18"/>
                <w:shd w:val="clear" w:color="auto" w:fill="FFFEFE"/>
                <w:lang w:val="en-US" w:eastAsia="zh-CN"/>
              </w:rPr>
            </w:pPr>
            <w:r>
              <w:rPr>
                <w:rFonts w:hint="eastAsia" w:ascii="宋体" w:hAnsi="宋体" w:cs="宋体"/>
                <w:color w:val="000000" w:themeColor="text1"/>
                <w:kern w:val="0"/>
                <w:sz w:val="18"/>
                <w:szCs w:val="18"/>
                <w:shd w:val="clear" w:color="auto" w:fill="FFFEFE"/>
                <w:lang w:val="en-US" w:eastAsia="zh-CN"/>
              </w:rPr>
              <w:t>协助公司各部门制定经营预算、监控运算执行，分析预算和实际数据的差异并提出改进建议，对业务提出建议并推动业务优化，参与内控流程的完善和优化等。</w:t>
            </w:r>
          </w:p>
        </w:tc>
      </w:tr>
      <w:tr w14:paraId="73DF85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6" w:type="dxa"/>
            <w:shd w:val="clear" w:color="auto" w:fill="auto"/>
            <w:vAlign w:val="center"/>
          </w:tcPr>
          <w:p w14:paraId="358A130B">
            <w:pPr>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p>
        </w:tc>
        <w:tc>
          <w:tcPr>
            <w:tcW w:w="1980" w:type="dxa"/>
            <w:shd w:val="clear" w:color="auto" w:fill="auto"/>
            <w:vAlign w:val="center"/>
          </w:tcPr>
          <w:p w14:paraId="3BA3E2B7">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审计助理</w:t>
            </w:r>
          </w:p>
        </w:tc>
        <w:tc>
          <w:tcPr>
            <w:tcW w:w="6432" w:type="dxa"/>
            <w:shd w:val="clear" w:color="auto" w:fill="auto"/>
            <w:vAlign w:val="center"/>
          </w:tcPr>
          <w:p w14:paraId="311D5E49">
            <w:pPr>
              <w:widowControl/>
              <w:shd w:val="clear" w:color="auto" w:fill="FFFEFE"/>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shd w:val="clear" w:color="auto" w:fill="FFFEFE"/>
                <w:lang w:val="en-US" w:eastAsia="zh-CN"/>
              </w:rPr>
              <w:t>负责企业审计项目工作中的凭证审核，开展现场审计，编制审计工作底稿，协助主审人员完成后期整理工作，统计、整理附注披露数据等</w:t>
            </w:r>
            <w:r>
              <w:rPr>
                <w:rFonts w:hint="eastAsia" w:ascii="宋体" w:hAnsi="宋体" w:cs="宋体"/>
                <w:color w:val="000000" w:themeColor="text1"/>
                <w:kern w:val="0"/>
                <w:sz w:val="18"/>
                <w:szCs w:val="18"/>
                <w:shd w:val="clear" w:color="auto" w:fill="FFFEFE"/>
              </w:rPr>
              <w:t>。   </w:t>
            </w:r>
          </w:p>
        </w:tc>
      </w:tr>
    </w:tbl>
    <w:p w14:paraId="0E911163">
      <w:pPr>
        <w:spacing w:line="400" w:lineRule="exact"/>
        <w:ind w:firstLine="422" w:firstLineChars="200"/>
        <w:jc w:val="left"/>
        <w:rPr>
          <w:b/>
          <w:bCs/>
          <w:color w:val="000000"/>
          <w:kern w:val="0"/>
          <w:szCs w:val="21"/>
        </w:rPr>
      </w:pPr>
      <w:r>
        <w:rPr>
          <w:b/>
          <w:bCs/>
          <w:color w:val="000000"/>
          <w:kern w:val="0"/>
          <w:szCs w:val="21"/>
        </w:rPr>
        <w:t>（三）</w:t>
      </w:r>
      <w:bookmarkStart w:id="1" w:name="_Hlk132978461"/>
      <w:r>
        <w:rPr>
          <w:b/>
          <w:bCs/>
          <w:color w:val="000000"/>
          <w:kern w:val="0"/>
          <w:szCs w:val="21"/>
        </w:rPr>
        <w:t>工作岗位与职业能力分析表</w:t>
      </w:r>
      <w:bookmarkEnd w:id="1"/>
    </w:p>
    <w:p w14:paraId="49DDF659">
      <w:pPr>
        <w:pStyle w:val="5"/>
        <w:keepNext/>
        <w:spacing w:line="240" w:lineRule="auto"/>
        <w:jc w:val="center"/>
        <w:rPr>
          <w:rFonts w:ascii="Times New Roman" w:hAnsi="Times New Roman" w:eastAsia="宋体"/>
          <w:b/>
          <w:bCs/>
          <w:sz w:val="18"/>
          <w:szCs w:val="18"/>
        </w:rPr>
      </w:pPr>
      <w:r>
        <w:rPr>
          <w:rFonts w:ascii="Times New Roman" w:hAnsi="Times New Roman" w:eastAsia="宋体"/>
          <w:b/>
          <w:bCs/>
          <w:sz w:val="18"/>
          <w:szCs w:val="18"/>
        </w:rPr>
        <w:t>表</w:t>
      </w:r>
      <w:r>
        <w:rPr>
          <w:rFonts w:hint="default" w:ascii="Times New Roman" w:hAnsi="Times New Roman" w:eastAsia="宋体" w:cs="Times New Roman"/>
          <w:b/>
          <w:bCs/>
          <w:sz w:val="18"/>
          <w:szCs w:val="18"/>
        </w:rPr>
        <w:fldChar w:fldCharType="begin"/>
      </w:r>
      <w:r>
        <w:rPr>
          <w:rFonts w:hint="default" w:ascii="Times New Roman" w:hAnsi="Times New Roman" w:eastAsia="宋体" w:cs="Times New Roman"/>
          <w:b/>
          <w:bCs/>
          <w:sz w:val="18"/>
          <w:szCs w:val="18"/>
        </w:rPr>
        <w:instrText xml:space="preserve"> SEQ 表 \* ARABIC </w:instrText>
      </w:r>
      <w:r>
        <w:rPr>
          <w:rFonts w:hint="default" w:ascii="Times New Roman" w:hAnsi="Times New Roman" w:eastAsia="宋体" w:cs="Times New Roman"/>
          <w:b/>
          <w:bCs/>
          <w:sz w:val="18"/>
          <w:szCs w:val="18"/>
        </w:rPr>
        <w:fldChar w:fldCharType="separate"/>
      </w:r>
      <w:r>
        <w:rPr>
          <w:rFonts w:hint="default" w:ascii="Times New Roman" w:hAnsi="Times New Roman" w:eastAsia="宋体" w:cs="Times New Roman"/>
          <w:b/>
          <w:bCs/>
          <w:sz w:val="18"/>
          <w:szCs w:val="18"/>
        </w:rPr>
        <w:t>3</w:t>
      </w:r>
      <w:r>
        <w:rPr>
          <w:rFonts w:hint="default" w:ascii="Times New Roman" w:hAnsi="Times New Roman" w:eastAsia="宋体" w:cs="Times New Roman"/>
          <w:b/>
          <w:bCs/>
          <w:sz w:val="18"/>
          <w:szCs w:val="18"/>
        </w:rPr>
        <w:fldChar w:fldCharType="end"/>
      </w:r>
      <w:r>
        <w:rPr>
          <w:rFonts w:ascii="Times New Roman" w:hAnsi="Times New Roman" w:eastAsia="宋体"/>
          <w:b/>
          <w:bCs/>
          <w:sz w:val="18"/>
          <w:szCs w:val="18"/>
        </w:rPr>
        <w:t>工作岗位与职业能力分析表</w:t>
      </w:r>
    </w:p>
    <w:tbl>
      <w:tblPr>
        <w:tblStyle w:val="13"/>
        <w:tblW w:w="9324"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83"/>
        <w:gridCol w:w="984"/>
        <w:gridCol w:w="3207"/>
        <w:gridCol w:w="2609"/>
        <w:gridCol w:w="1941"/>
      </w:tblGrid>
      <w:tr w14:paraId="1E826E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83" w:type="dxa"/>
            <w:shd w:val="clear" w:color="auto" w:fill="auto"/>
          </w:tcPr>
          <w:p w14:paraId="61E27F44">
            <w:pPr>
              <w:jc w:val="center"/>
              <w:rPr>
                <w:color w:val="000000" w:themeColor="text1"/>
                <w:kern w:val="0"/>
                <w:sz w:val="18"/>
                <w:szCs w:val="18"/>
              </w:rPr>
            </w:pPr>
            <w:r>
              <w:rPr>
                <w:color w:val="000000" w:themeColor="text1"/>
                <w:kern w:val="0"/>
                <w:sz w:val="18"/>
                <w:szCs w:val="18"/>
              </w:rPr>
              <w:t>序号</w:t>
            </w:r>
          </w:p>
        </w:tc>
        <w:tc>
          <w:tcPr>
            <w:tcW w:w="984" w:type="dxa"/>
            <w:shd w:val="clear" w:color="auto" w:fill="auto"/>
          </w:tcPr>
          <w:p w14:paraId="12BE98DC">
            <w:pPr>
              <w:jc w:val="center"/>
              <w:rPr>
                <w:color w:val="000000" w:themeColor="text1"/>
                <w:kern w:val="0"/>
                <w:sz w:val="18"/>
                <w:szCs w:val="18"/>
              </w:rPr>
            </w:pPr>
            <w:r>
              <w:rPr>
                <w:color w:val="000000" w:themeColor="text1"/>
                <w:kern w:val="0"/>
                <w:sz w:val="18"/>
                <w:szCs w:val="18"/>
              </w:rPr>
              <w:t>工作岗位</w:t>
            </w:r>
          </w:p>
        </w:tc>
        <w:tc>
          <w:tcPr>
            <w:tcW w:w="3207" w:type="dxa"/>
            <w:shd w:val="clear" w:color="auto" w:fill="auto"/>
          </w:tcPr>
          <w:p w14:paraId="5A234641">
            <w:pPr>
              <w:jc w:val="center"/>
              <w:rPr>
                <w:color w:val="000000" w:themeColor="text1"/>
                <w:kern w:val="0"/>
                <w:sz w:val="18"/>
                <w:szCs w:val="18"/>
              </w:rPr>
            </w:pPr>
            <w:r>
              <w:rPr>
                <w:color w:val="000000" w:themeColor="text1"/>
                <w:kern w:val="0"/>
                <w:sz w:val="18"/>
                <w:szCs w:val="18"/>
              </w:rPr>
              <w:t>工作任务</w:t>
            </w:r>
          </w:p>
        </w:tc>
        <w:tc>
          <w:tcPr>
            <w:tcW w:w="2609" w:type="dxa"/>
            <w:shd w:val="clear" w:color="auto" w:fill="auto"/>
          </w:tcPr>
          <w:p w14:paraId="34E7B023">
            <w:pPr>
              <w:jc w:val="center"/>
              <w:rPr>
                <w:color w:val="000000" w:themeColor="text1"/>
                <w:kern w:val="0"/>
                <w:sz w:val="18"/>
                <w:szCs w:val="18"/>
              </w:rPr>
            </w:pPr>
            <w:r>
              <w:rPr>
                <w:color w:val="000000" w:themeColor="text1"/>
                <w:kern w:val="0"/>
                <w:sz w:val="18"/>
                <w:szCs w:val="18"/>
              </w:rPr>
              <w:t>职业能力</w:t>
            </w:r>
          </w:p>
        </w:tc>
        <w:tc>
          <w:tcPr>
            <w:tcW w:w="1941" w:type="dxa"/>
            <w:shd w:val="clear" w:color="auto" w:fill="auto"/>
          </w:tcPr>
          <w:p w14:paraId="0BB59ABF">
            <w:pPr>
              <w:jc w:val="center"/>
              <w:rPr>
                <w:color w:val="000000" w:themeColor="text1"/>
                <w:kern w:val="0"/>
                <w:sz w:val="18"/>
                <w:szCs w:val="18"/>
              </w:rPr>
            </w:pPr>
            <w:r>
              <w:rPr>
                <w:color w:val="000000" w:themeColor="text1"/>
                <w:kern w:val="0"/>
                <w:sz w:val="18"/>
                <w:szCs w:val="18"/>
              </w:rPr>
              <w:t>相关课程</w:t>
            </w:r>
          </w:p>
        </w:tc>
      </w:tr>
      <w:tr w14:paraId="000AD4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83" w:type="dxa"/>
            <w:shd w:val="clear" w:color="auto" w:fill="auto"/>
            <w:vAlign w:val="center"/>
          </w:tcPr>
          <w:p w14:paraId="37F894F4">
            <w:pPr>
              <w:jc w:val="center"/>
              <w:rPr>
                <w:color w:val="000000" w:themeColor="text1"/>
                <w:kern w:val="0"/>
                <w:sz w:val="18"/>
                <w:szCs w:val="18"/>
              </w:rPr>
            </w:pPr>
            <w:r>
              <w:rPr>
                <w:rFonts w:hint="default" w:ascii="Times New Roman" w:hAnsi="Times New Roman" w:cs="Times New Roman"/>
                <w:color w:val="000000" w:themeColor="text1"/>
                <w:kern w:val="0"/>
                <w:sz w:val="18"/>
                <w:szCs w:val="18"/>
              </w:rPr>
              <w:t>1</w:t>
            </w:r>
          </w:p>
        </w:tc>
        <w:tc>
          <w:tcPr>
            <w:tcW w:w="984" w:type="dxa"/>
            <w:shd w:val="clear" w:color="auto" w:fill="auto"/>
            <w:vAlign w:val="center"/>
          </w:tcPr>
          <w:p w14:paraId="714A8C7D">
            <w:pPr>
              <w:jc w:val="center"/>
              <w:rPr>
                <w:color w:val="000000" w:themeColor="text1"/>
                <w:kern w:val="0"/>
                <w:sz w:val="18"/>
                <w:szCs w:val="18"/>
              </w:rPr>
            </w:pPr>
            <w:r>
              <w:rPr>
                <w:rFonts w:hint="eastAsia"/>
                <w:color w:val="000000" w:themeColor="text1"/>
                <w:sz w:val="18"/>
                <w:szCs w:val="18"/>
              </w:rPr>
              <w:t>出纳</w:t>
            </w:r>
          </w:p>
        </w:tc>
        <w:tc>
          <w:tcPr>
            <w:tcW w:w="3207" w:type="dxa"/>
            <w:shd w:val="clear" w:color="auto" w:fill="auto"/>
            <w:vAlign w:val="center"/>
          </w:tcPr>
          <w:p w14:paraId="434D84EE">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登记日记账</w:t>
            </w:r>
            <w:r>
              <w:rPr>
                <w:rFonts w:hint="eastAsia" w:ascii="Arial" w:hAnsi="Arial" w:cs="Arial"/>
                <w:color w:val="000000" w:themeColor="text1"/>
                <w:sz w:val="18"/>
                <w:szCs w:val="18"/>
                <w:shd w:val="clear" w:color="auto" w:fill="FFFFFF"/>
              </w:rPr>
              <w:t>；</w:t>
            </w:r>
          </w:p>
          <w:p w14:paraId="391E2C47">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收付现金</w:t>
            </w:r>
            <w:r>
              <w:rPr>
                <w:rFonts w:hint="eastAsia" w:ascii="Arial" w:hAnsi="Arial" w:cs="Arial"/>
                <w:color w:val="000000" w:themeColor="text1"/>
                <w:sz w:val="18"/>
                <w:szCs w:val="18"/>
                <w:shd w:val="clear" w:color="auto" w:fill="FFFFFF"/>
              </w:rPr>
              <w:t>、</w:t>
            </w:r>
            <w:r>
              <w:rPr>
                <w:rFonts w:ascii="Arial" w:hAnsi="Arial" w:cs="Arial"/>
                <w:color w:val="000000" w:themeColor="text1"/>
                <w:sz w:val="18"/>
                <w:szCs w:val="18"/>
                <w:shd w:val="clear" w:color="auto" w:fill="FFFFFF"/>
              </w:rPr>
              <w:t>保管现金及有价证券</w:t>
            </w:r>
            <w:r>
              <w:rPr>
                <w:rFonts w:hint="eastAsia" w:ascii="Arial" w:hAnsi="Arial" w:cs="Arial"/>
                <w:color w:val="000000" w:themeColor="text1"/>
                <w:sz w:val="18"/>
                <w:szCs w:val="18"/>
                <w:shd w:val="clear" w:color="auto" w:fill="FFFFFF"/>
              </w:rPr>
              <w:t>；</w:t>
            </w:r>
          </w:p>
          <w:p w14:paraId="090841EF">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盘清库存现金，核对现金日记账</w:t>
            </w:r>
            <w:r>
              <w:rPr>
                <w:rFonts w:hint="eastAsia" w:ascii="Arial" w:hAnsi="Arial" w:cs="Arial"/>
                <w:color w:val="000000" w:themeColor="text1"/>
                <w:sz w:val="18"/>
                <w:szCs w:val="18"/>
                <w:shd w:val="clear" w:color="auto" w:fill="FFFFFF"/>
              </w:rPr>
              <w:t>；</w:t>
            </w:r>
          </w:p>
          <w:p w14:paraId="358FEFCC">
            <w:pPr>
              <w:numPr>
                <w:ilvl w:val="0"/>
                <w:numId w:val="1"/>
              </w:numPr>
              <w:jc w:val="left"/>
              <w:rPr>
                <w:color w:val="000000" w:themeColor="text1"/>
                <w:kern w:val="0"/>
                <w:sz w:val="18"/>
                <w:szCs w:val="18"/>
              </w:rPr>
            </w:pPr>
            <w:r>
              <w:rPr>
                <w:rFonts w:ascii="Arial" w:hAnsi="Arial" w:cs="Arial"/>
                <w:color w:val="000000" w:themeColor="text1"/>
                <w:sz w:val="18"/>
                <w:szCs w:val="18"/>
                <w:shd w:val="clear" w:color="auto" w:fill="FFFFFF"/>
              </w:rPr>
              <w:t>保管各种空白支票、票据、印鉴。</w:t>
            </w:r>
          </w:p>
        </w:tc>
        <w:tc>
          <w:tcPr>
            <w:tcW w:w="2609" w:type="dxa"/>
            <w:shd w:val="clear" w:color="auto" w:fill="auto"/>
            <w:vAlign w:val="center"/>
          </w:tcPr>
          <w:p w14:paraId="094524D4">
            <w:pPr>
              <w:numPr>
                <w:ilvl w:val="0"/>
                <w:numId w:val="1"/>
              </w:numPr>
              <w:rPr>
                <w:color w:val="000000" w:themeColor="text1"/>
                <w:sz w:val="18"/>
                <w:szCs w:val="18"/>
              </w:rPr>
            </w:pPr>
            <w:r>
              <w:rPr>
                <w:rFonts w:hint="eastAsia"/>
                <w:color w:val="000000" w:themeColor="text1"/>
                <w:sz w:val="18"/>
                <w:szCs w:val="18"/>
              </w:rPr>
              <w:t>掌握现金收支、银行转账结算业务的办理；</w:t>
            </w:r>
          </w:p>
          <w:p w14:paraId="5B9E0257">
            <w:pPr>
              <w:numPr>
                <w:ilvl w:val="0"/>
                <w:numId w:val="1"/>
              </w:numPr>
              <w:rPr>
                <w:color w:val="000000" w:themeColor="text1"/>
                <w:sz w:val="18"/>
                <w:szCs w:val="18"/>
              </w:rPr>
            </w:pPr>
            <w:r>
              <w:rPr>
                <w:rFonts w:hint="eastAsia"/>
                <w:color w:val="000000" w:themeColor="text1"/>
                <w:sz w:val="18"/>
                <w:szCs w:val="18"/>
              </w:rPr>
              <w:t>掌握现金日记账、银行日记账的登记方法；</w:t>
            </w:r>
          </w:p>
          <w:p w14:paraId="39BC04A6">
            <w:pPr>
              <w:numPr>
                <w:ilvl w:val="0"/>
                <w:numId w:val="1"/>
              </w:numPr>
              <w:rPr>
                <w:color w:val="000000" w:themeColor="text1"/>
                <w:kern w:val="0"/>
                <w:sz w:val="18"/>
                <w:szCs w:val="18"/>
              </w:rPr>
            </w:pPr>
            <w:r>
              <w:rPr>
                <w:rFonts w:hint="eastAsia"/>
                <w:color w:val="000000" w:themeColor="text1"/>
                <w:sz w:val="18"/>
                <w:szCs w:val="18"/>
              </w:rPr>
              <w:t>掌握现金、银行存款的清查与核对方法。</w:t>
            </w:r>
          </w:p>
        </w:tc>
        <w:tc>
          <w:tcPr>
            <w:tcW w:w="1941" w:type="dxa"/>
            <w:shd w:val="clear" w:color="auto" w:fill="auto"/>
            <w:vAlign w:val="center"/>
          </w:tcPr>
          <w:p w14:paraId="4B022B01">
            <w:pPr>
              <w:numPr>
                <w:ilvl w:val="0"/>
                <w:numId w:val="1"/>
              </w:numPr>
              <w:ind w:left="420" w:leftChars="0" w:hanging="420" w:firstLineChars="0"/>
              <w:jc w:val="left"/>
              <w:rPr>
                <w:color w:val="000000" w:themeColor="text1"/>
                <w:sz w:val="18"/>
                <w:szCs w:val="18"/>
              </w:rPr>
            </w:pPr>
            <w:r>
              <w:rPr>
                <w:rFonts w:hint="eastAsia"/>
                <w:color w:val="000000" w:themeColor="text1"/>
                <w:sz w:val="18"/>
                <w:szCs w:val="18"/>
              </w:rPr>
              <w:t>出纳业务操作</w:t>
            </w:r>
          </w:p>
          <w:p w14:paraId="7E83AAEB">
            <w:pPr>
              <w:pStyle w:val="6"/>
              <w:numPr>
                <w:ilvl w:val="0"/>
                <w:numId w:val="1"/>
              </w:numPr>
              <w:ind w:left="420" w:leftChars="0" w:hanging="420" w:firstLineChars="0"/>
              <w:rPr>
                <w:rFonts w:hint="default" w:eastAsia="宋体"/>
                <w:sz w:val="18"/>
                <w:szCs w:val="18"/>
                <w:lang w:val="en-US" w:eastAsia="zh-CN"/>
              </w:rPr>
            </w:pPr>
            <w:r>
              <w:rPr>
                <w:rFonts w:hint="eastAsia"/>
                <w:color w:val="000000" w:themeColor="text1"/>
                <w:sz w:val="18"/>
                <w:szCs w:val="18"/>
                <w:lang w:val="en-US" w:eastAsia="zh-CN"/>
              </w:rPr>
              <w:t>财经法规与会计职业道德</w:t>
            </w:r>
          </w:p>
          <w:p w14:paraId="41DDD7BD">
            <w:pPr>
              <w:pStyle w:val="6"/>
              <w:numPr>
                <w:ilvl w:val="0"/>
                <w:numId w:val="1"/>
              </w:numPr>
              <w:ind w:left="420" w:leftChars="0" w:hanging="420" w:firstLineChars="0"/>
              <w:rPr>
                <w:color w:val="000000" w:themeColor="text1"/>
                <w:kern w:val="0"/>
                <w:sz w:val="18"/>
                <w:szCs w:val="18"/>
              </w:rPr>
            </w:pPr>
            <w:r>
              <w:rPr>
                <w:rFonts w:hint="eastAsia"/>
                <w:sz w:val="18"/>
                <w:szCs w:val="18"/>
                <w:lang w:val="en-US" w:eastAsia="zh-CN"/>
              </w:rPr>
              <w:t>内部控制与风险管理</w:t>
            </w:r>
          </w:p>
        </w:tc>
      </w:tr>
      <w:tr w14:paraId="2F50B5A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3" w:type="dxa"/>
            <w:shd w:val="clear" w:color="auto" w:fill="auto"/>
            <w:vAlign w:val="center"/>
          </w:tcPr>
          <w:p w14:paraId="452C41DB">
            <w:pPr>
              <w:jc w:val="center"/>
              <w:rPr>
                <w:color w:val="000000" w:themeColor="text1"/>
                <w:kern w:val="0"/>
                <w:sz w:val="18"/>
                <w:szCs w:val="18"/>
              </w:rPr>
            </w:pPr>
            <w:r>
              <w:rPr>
                <w:rFonts w:hint="default" w:ascii="Times New Roman" w:hAnsi="Times New Roman" w:cs="Times New Roman"/>
                <w:color w:val="000000" w:themeColor="text1"/>
                <w:kern w:val="0"/>
                <w:sz w:val="18"/>
                <w:szCs w:val="18"/>
              </w:rPr>
              <w:t>2</w:t>
            </w:r>
          </w:p>
        </w:tc>
        <w:tc>
          <w:tcPr>
            <w:tcW w:w="984" w:type="dxa"/>
            <w:shd w:val="clear" w:color="auto" w:fill="auto"/>
            <w:vAlign w:val="center"/>
          </w:tcPr>
          <w:p w14:paraId="54C67BA5">
            <w:pPr>
              <w:jc w:val="center"/>
              <w:rPr>
                <w:color w:val="000000" w:themeColor="text1"/>
                <w:kern w:val="0"/>
                <w:sz w:val="18"/>
                <w:szCs w:val="18"/>
              </w:rPr>
            </w:pPr>
            <w:r>
              <w:rPr>
                <w:rFonts w:hint="eastAsia"/>
                <w:color w:val="000000" w:themeColor="text1"/>
                <w:sz w:val="18"/>
                <w:szCs w:val="18"/>
                <w:lang w:val="en-US" w:eastAsia="zh-CN"/>
              </w:rPr>
              <w:t>核算</w:t>
            </w:r>
            <w:r>
              <w:rPr>
                <w:rFonts w:hint="eastAsia"/>
                <w:color w:val="000000" w:themeColor="text1"/>
                <w:sz w:val="18"/>
                <w:szCs w:val="18"/>
              </w:rPr>
              <w:t>会计</w:t>
            </w:r>
          </w:p>
        </w:tc>
        <w:tc>
          <w:tcPr>
            <w:tcW w:w="3207" w:type="dxa"/>
            <w:shd w:val="clear" w:color="auto" w:fill="auto"/>
            <w:vAlign w:val="center"/>
          </w:tcPr>
          <w:p w14:paraId="490B10FD">
            <w:pPr>
              <w:numPr>
                <w:ilvl w:val="0"/>
                <w:numId w:val="1"/>
              </w:numPr>
              <w:jc w:val="left"/>
              <w:rPr>
                <w:color w:val="000000" w:themeColor="text1"/>
                <w:sz w:val="18"/>
                <w:szCs w:val="18"/>
              </w:rPr>
            </w:pPr>
            <w:r>
              <w:rPr>
                <w:rFonts w:hint="eastAsia"/>
                <w:color w:val="000000" w:themeColor="text1"/>
                <w:sz w:val="18"/>
                <w:szCs w:val="18"/>
              </w:rPr>
              <w:t>会计核算</w:t>
            </w:r>
            <w:r>
              <w:rPr>
                <w:rFonts w:hint="eastAsia"/>
                <w:color w:val="000000" w:themeColor="text1"/>
                <w:sz w:val="18"/>
                <w:szCs w:val="18"/>
                <w:lang w:val="en-US" w:eastAsia="zh-CN"/>
              </w:rPr>
              <w:t>与监督</w:t>
            </w:r>
            <w:r>
              <w:rPr>
                <w:rFonts w:hint="eastAsia"/>
                <w:color w:val="000000" w:themeColor="text1"/>
                <w:sz w:val="18"/>
                <w:szCs w:val="18"/>
              </w:rPr>
              <w:t>；</w:t>
            </w:r>
          </w:p>
          <w:p w14:paraId="4A0BFEF1">
            <w:pPr>
              <w:pStyle w:val="6"/>
              <w:numPr>
                <w:ilvl w:val="0"/>
                <w:numId w:val="1"/>
              </w:numPr>
              <w:rPr>
                <w:color w:val="000000" w:themeColor="text1"/>
                <w:sz w:val="18"/>
                <w:szCs w:val="18"/>
                <w:lang w:val="en-US"/>
              </w:rPr>
            </w:pPr>
            <w:r>
              <w:rPr>
                <w:rFonts w:hint="eastAsia"/>
                <w:color w:val="000000" w:themeColor="text1"/>
                <w:sz w:val="18"/>
                <w:szCs w:val="18"/>
                <w:lang w:val="en-US" w:eastAsia="zh-CN"/>
              </w:rPr>
              <w:t>纳税申报</w:t>
            </w:r>
            <w:r>
              <w:rPr>
                <w:rFonts w:hint="eastAsia"/>
                <w:color w:val="000000" w:themeColor="text1"/>
                <w:sz w:val="18"/>
                <w:szCs w:val="18"/>
                <w:lang w:val="en-US"/>
              </w:rPr>
              <w:t>；</w:t>
            </w:r>
          </w:p>
          <w:p w14:paraId="3C769329">
            <w:pPr>
              <w:numPr>
                <w:ilvl w:val="0"/>
                <w:numId w:val="1"/>
              </w:numPr>
              <w:jc w:val="left"/>
              <w:rPr>
                <w:color w:val="000000" w:themeColor="text1"/>
                <w:sz w:val="18"/>
                <w:szCs w:val="18"/>
              </w:rPr>
            </w:pPr>
            <w:r>
              <w:rPr>
                <w:rFonts w:hint="eastAsia"/>
                <w:color w:val="000000" w:themeColor="text1"/>
                <w:sz w:val="18"/>
                <w:szCs w:val="18"/>
              </w:rPr>
              <w:t>参与拟订经济计划、业务计划；</w:t>
            </w:r>
          </w:p>
          <w:p w14:paraId="53F9EB5E">
            <w:pPr>
              <w:numPr>
                <w:ilvl w:val="0"/>
                <w:numId w:val="1"/>
              </w:numPr>
              <w:jc w:val="left"/>
              <w:rPr>
                <w:color w:val="000000" w:themeColor="text1"/>
                <w:kern w:val="0"/>
                <w:sz w:val="18"/>
                <w:szCs w:val="18"/>
              </w:rPr>
            </w:pPr>
            <w:r>
              <w:rPr>
                <w:rFonts w:hint="eastAsia"/>
                <w:color w:val="000000" w:themeColor="text1"/>
                <w:sz w:val="18"/>
                <w:szCs w:val="18"/>
              </w:rPr>
              <w:t>考核、分析预算、财务计划的执行情况。</w:t>
            </w:r>
          </w:p>
        </w:tc>
        <w:tc>
          <w:tcPr>
            <w:tcW w:w="2609" w:type="dxa"/>
            <w:shd w:val="clear" w:color="auto" w:fill="auto"/>
            <w:vAlign w:val="center"/>
          </w:tcPr>
          <w:p w14:paraId="2831599D">
            <w:pPr>
              <w:numPr>
                <w:ilvl w:val="0"/>
                <w:numId w:val="1"/>
              </w:numPr>
              <w:rPr>
                <w:sz w:val="18"/>
                <w:szCs w:val="18"/>
              </w:rPr>
            </w:pPr>
            <w:r>
              <w:rPr>
                <w:rFonts w:hint="eastAsia"/>
                <w:sz w:val="18"/>
                <w:szCs w:val="18"/>
              </w:rPr>
              <w:t>熟悉相关会计制度；</w:t>
            </w:r>
          </w:p>
          <w:p w14:paraId="72715960">
            <w:pPr>
              <w:numPr>
                <w:ilvl w:val="0"/>
                <w:numId w:val="1"/>
              </w:numPr>
              <w:rPr>
                <w:sz w:val="18"/>
                <w:szCs w:val="18"/>
              </w:rPr>
            </w:pPr>
            <w:r>
              <w:rPr>
                <w:rFonts w:hint="eastAsia"/>
                <w:sz w:val="18"/>
                <w:szCs w:val="18"/>
              </w:rPr>
              <w:t>掌握企业经济业务的确认、记录、计量和报告；</w:t>
            </w:r>
          </w:p>
          <w:p w14:paraId="14CA5EBB">
            <w:pPr>
              <w:numPr>
                <w:ilvl w:val="0"/>
                <w:numId w:val="1"/>
              </w:numPr>
              <w:rPr>
                <w:sz w:val="18"/>
                <w:szCs w:val="18"/>
              </w:rPr>
            </w:pPr>
            <w:r>
              <w:rPr>
                <w:rFonts w:hint="eastAsia"/>
                <w:sz w:val="18"/>
                <w:szCs w:val="18"/>
              </w:rPr>
              <w:t>掌握财务软件的日常操作；</w:t>
            </w:r>
          </w:p>
          <w:p w14:paraId="397EBB7F">
            <w:pPr>
              <w:pStyle w:val="6"/>
              <w:numPr>
                <w:ilvl w:val="0"/>
                <w:numId w:val="1"/>
              </w:numPr>
              <w:rPr>
                <w:sz w:val="18"/>
                <w:szCs w:val="18"/>
                <w:lang w:val="en-US"/>
              </w:rPr>
            </w:pPr>
            <w:r>
              <w:rPr>
                <w:rFonts w:hint="eastAsia"/>
                <w:sz w:val="18"/>
                <w:szCs w:val="18"/>
                <w:lang w:val="en-US" w:eastAsia="zh-CN"/>
              </w:rPr>
              <w:t>具备</w:t>
            </w:r>
            <w:r>
              <w:rPr>
                <w:rFonts w:hint="eastAsia"/>
                <w:sz w:val="18"/>
                <w:szCs w:val="18"/>
                <w:lang w:val="en-US"/>
              </w:rPr>
              <w:t>财务数据清洗、归整</w:t>
            </w:r>
            <w:r>
              <w:rPr>
                <w:rFonts w:hint="eastAsia"/>
                <w:sz w:val="18"/>
                <w:szCs w:val="18"/>
                <w:lang w:val="en-US" w:eastAsia="zh-CN"/>
              </w:rPr>
              <w:t>能力</w:t>
            </w:r>
            <w:r>
              <w:rPr>
                <w:rFonts w:hint="eastAsia"/>
                <w:sz w:val="18"/>
                <w:szCs w:val="18"/>
                <w:lang w:val="en-US"/>
              </w:rPr>
              <w:t>。</w:t>
            </w:r>
          </w:p>
        </w:tc>
        <w:tc>
          <w:tcPr>
            <w:tcW w:w="1941" w:type="dxa"/>
            <w:shd w:val="clear" w:color="auto" w:fill="auto"/>
            <w:vAlign w:val="center"/>
          </w:tcPr>
          <w:p w14:paraId="241C505B">
            <w:pPr>
              <w:numPr>
                <w:ilvl w:val="0"/>
                <w:numId w:val="1"/>
              </w:numPr>
              <w:ind w:left="420" w:leftChars="0" w:hanging="420" w:firstLineChars="0"/>
              <w:jc w:val="left"/>
              <w:rPr>
                <w:sz w:val="18"/>
                <w:szCs w:val="18"/>
              </w:rPr>
            </w:pPr>
            <w:r>
              <w:rPr>
                <w:rFonts w:hint="eastAsia"/>
                <w:sz w:val="18"/>
                <w:szCs w:val="18"/>
                <w:lang w:val="en-US" w:eastAsia="zh-CN"/>
              </w:rPr>
              <w:t>会计核算实务操作</w:t>
            </w:r>
          </w:p>
          <w:p w14:paraId="208A24B3">
            <w:pPr>
              <w:numPr>
                <w:ilvl w:val="0"/>
                <w:numId w:val="1"/>
              </w:numPr>
              <w:ind w:left="420" w:leftChars="0" w:hanging="420" w:firstLineChars="0"/>
              <w:jc w:val="left"/>
              <w:rPr>
                <w:sz w:val="18"/>
                <w:szCs w:val="18"/>
              </w:rPr>
            </w:pPr>
            <w:r>
              <w:rPr>
                <w:rFonts w:hint="eastAsia"/>
                <w:sz w:val="18"/>
                <w:szCs w:val="18"/>
              </w:rPr>
              <w:t>财务会计实务</w:t>
            </w:r>
          </w:p>
          <w:p w14:paraId="0273CE58">
            <w:pPr>
              <w:numPr>
                <w:ilvl w:val="0"/>
                <w:numId w:val="1"/>
              </w:numPr>
              <w:ind w:left="420" w:leftChars="0" w:hanging="420" w:firstLineChars="0"/>
              <w:jc w:val="left"/>
              <w:rPr>
                <w:sz w:val="18"/>
                <w:szCs w:val="18"/>
              </w:rPr>
            </w:pPr>
            <w:r>
              <w:rPr>
                <w:rFonts w:hint="eastAsia"/>
                <w:sz w:val="18"/>
                <w:szCs w:val="18"/>
                <w:lang w:val="en-US" w:eastAsia="zh-CN"/>
              </w:rPr>
              <w:t>业财一体</w:t>
            </w:r>
            <w:r>
              <w:rPr>
                <w:rFonts w:hint="eastAsia"/>
                <w:sz w:val="18"/>
                <w:szCs w:val="18"/>
              </w:rPr>
              <w:t>信息系统应用</w:t>
            </w:r>
          </w:p>
          <w:p w14:paraId="1E58CD96">
            <w:pPr>
              <w:numPr>
                <w:ilvl w:val="0"/>
                <w:numId w:val="1"/>
              </w:numPr>
              <w:ind w:left="420" w:leftChars="0" w:hanging="420" w:firstLineChars="0"/>
              <w:jc w:val="left"/>
              <w:rPr>
                <w:sz w:val="18"/>
                <w:szCs w:val="18"/>
              </w:rPr>
            </w:pPr>
            <w:r>
              <w:rPr>
                <w:rFonts w:hint="eastAsia"/>
                <w:color w:val="000000" w:themeColor="text1"/>
                <w:sz w:val="18"/>
                <w:szCs w:val="18"/>
              </w:rPr>
              <w:t>纳税实务</w:t>
            </w:r>
          </w:p>
        </w:tc>
      </w:tr>
      <w:tr w14:paraId="279780F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3" w:type="dxa"/>
            <w:shd w:val="clear" w:color="auto" w:fill="auto"/>
            <w:vAlign w:val="center"/>
          </w:tcPr>
          <w:p w14:paraId="1BF04D15">
            <w:pPr>
              <w:jc w:val="center"/>
              <w:rPr>
                <w:color w:val="000000" w:themeColor="text1"/>
                <w:kern w:val="0"/>
                <w:sz w:val="18"/>
                <w:szCs w:val="18"/>
              </w:rPr>
            </w:pPr>
            <w:r>
              <w:rPr>
                <w:rFonts w:hint="default" w:ascii="Times New Roman" w:hAnsi="Times New Roman" w:cs="Times New Roman"/>
                <w:color w:val="000000" w:themeColor="text1"/>
                <w:kern w:val="0"/>
                <w:sz w:val="18"/>
                <w:szCs w:val="18"/>
              </w:rPr>
              <w:t>3</w:t>
            </w:r>
          </w:p>
        </w:tc>
        <w:tc>
          <w:tcPr>
            <w:tcW w:w="984" w:type="dxa"/>
            <w:shd w:val="clear" w:color="auto" w:fill="auto"/>
            <w:vAlign w:val="center"/>
          </w:tcPr>
          <w:p w14:paraId="05B42E70">
            <w:pPr>
              <w:jc w:val="center"/>
              <w:rPr>
                <w:color w:val="000000" w:themeColor="text1"/>
                <w:kern w:val="0"/>
                <w:sz w:val="18"/>
                <w:szCs w:val="18"/>
              </w:rPr>
            </w:pPr>
            <w:r>
              <w:rPr>
                <w:rFonts w:hint="eastAsia"/>
                <w:color w:val="000000" w:themeColor="text1"/>
                <w:kern w:val="0"/>
                <w:sz w:val="18"/>
                <w:szCs w:val="18"/>
              </w:rPr>
              <w:t>成本会计</w:t>
            </w:r>
          </w:p>
        </w:tc>
        <w:tc>
          <w:tcPr>
            <w:tcW w:w="3207" w:type="dxa"/>
            <w:shd w:val="clear" w:color="auto" w:fill="auto"/>
            <w:vAlign w:val="center"/>
          </w:tcPr>
          <w:p w14:paraId="5D1006B7">
            <w:pPr>
              <w:numPr>
                <w:ilvl w:val="0"/>
                <w:numId w:val="1"/>
              </w:numPr>
              <w:jc w:val="left"/>
              <w:rPr>
                <w:rFonts w:ascii="宋体" w:hAnsi="宋体"/>
                <w:color w:val="000000" w:themeColor="text1"/>
                <w:sz w:val="18"/>
                <w:szCs w:val="18"/>
              </w:rPr>
            </w:pPr>
            <w:r>
              <w:rPr>
                <w:rFonts w:hint="eastAsia" w:ascii="宋体" w:hAnsi="宋体"/>
                <w:color w:val="000000" w:themeColor="text1"/>
                <w:sz w:val="18"/>
                <w:szCs w:val="18"/>
              </w:rPr>
              <w:t>要素费用的归集与分配；</w:t>
            </w:r>
          </w:p>
          <w:p w14:paraId="58852E06">
            <w:pPr>
              <w:numPr>
                <w:ilvl w:val="0"/>
                <w:numId w:val="1"/>
              </w:numPr>
              <w:jc w:val="left"/>
              <w:rPr>
                <w:rFonts w:ascii="宋体" w:hAnsi="宋体"/>
                <w:color w:val="000000" w:themeColor="text1"/>
                <w:sz w:val="18"/>
                <w:szCs w:val="18"/>
              </w:rPr>
            </w:pPr>
            <w:r>
              <w:rPr>
                <w:rFonts w:hint="eastAsia" w:ascii="宋体" w:hAnsi="宋体"/>
                <w:color w:val="000000" w:themeColor="text1"/>
                <w:sz w:val="18"/>
                <w:szCs w:val="18"/>
              </w:rPr>
              <w:t>部门费用的归集与分配；</w:t>
            </w:r>
          </w:p>
          <w:p w14:paraId="6D13DB55">
            <w:pPr>
              <w:pStyle w:val="6"/>
              <w:numPr>
                <w:ilvl w:val="0"/>
                <w:numId w:val="1"/>
              </w:numPr>
              <w:rPr>
                <w:sz w:val="18"/>
                <w:szCs w:val="18"/>
                <w:lang w:val="en-US"/>
              </w:rPr>
            </w:pPr>
            <w:r>
              <w:rPr>
                <w:rFonts w:hint="eastAsia"/>
                <w:color w:val="000000" w:themeColor="text1"/>
                <w:sz w:val="18"/>
                <w:szCs w:val="18"/>
                <w:lang w:val="en-US"/>
              </w:rPr>
              <w:t>在产品和产成品成本的核算；</w:t>
            </w:r>
          </w:p>
          <w:p w14:paraId="59760822">
            <w:pPr>
              <w:pStyle w:val="6"/>
              <w:numPr>
                <w:ilvl w:val="0"/>
                <w:numId w:val="1"/>
              </w:numPr>
              <w:rPr>
                <w:sz w:val="18"/>
                <w:szCs w:val="18"/>
                <w:lang w:val="en-US"/>
              </w:rPr>
            </w:pPr>
            <w:r>
              <w:rPr>
                <w:rFonts w:hint="eastAsia"/>
                <w:sz w:val="18"/>
                <w:szCs w:val="18"/>
                <w:lang w:val="en-US"/>
              </w:rPr>
              <w:t>成本预测与决策；</w:t>
            </w:r>
          </w:p>
          <w:p w14:paraId="4927C990">
            <w:pPr>
              <w:numPr>
                <w:ilvl w:val="0"/>
                <w:numId w:val="1"/>
              </w:numPr>
              <w:jc w:val="left"/>
              <w:rPr>
                <w:color w:val="000000" w:themeColor="text1"/>
                <w:kern w:val="0"/>
                <w:sz w:val="18"/>
                <w:szCs w:val="18"/>
              </w:rPr>
            </w:pPr>
            <w:r>
              <w:rPr>
                <w:rFonts w:hint="eastAsia" w:ascii="宋体" w:hAnsi="宋体"/>
                <w:color w:val="000000" w:themeColor="text1"/>
                <w:sz w:val="18"/>
                <w:szCs w:val="18"/>
              </w:rPr>
              <w:t>成本计算、分析及管理。</w:t>
            </w:r>
          </w:p>
        </w:tc>
        <w:tc>
          <w:tcPr>
            <w:tcW w:w="2609" w:type="dxa"/>
            <w:shd w:val="clear" w:color="auto" w:fill="auto"/>
            <w:vAlign w:val="center"/>
          </w:tcPr>
          <w:p w14:paraId="2812B65D">
            <w:pPr>
              <w:numPr>
                <w:ilvl w:val="0"/>
                <w:numId w:val="1"/>
              </w:numPr>
              <w:jc w:val="left"/>
              <w:rPr>
                <w:rFonts w:ascii="宋体" w:hAnsi="宋体"/>
                <w:color w:val="000000" w:themeColor="text1"/>
                <w:sz w:val="18"/>
                <w:szCs w:val="18"/>
              </w:rPr>
            </w:pPr>
            <w:r>
              <w:rPr>
                <w:rFonts w:hint="eastAsia" w:ascii="宋体" w:hAnsi="宋体"/>
                <w:color w:val="000000" w:themeColor="text1"/>
                <w:sz w:val="18"/>
                <w:szCs w:val="18"/>
              </w:rPr>
              <w:t>掌握成本核算方法；</w:t>
            </w:r>
          </w:p>
          <w:p w14:paraId="0DB13D6C">
            <w:pPr>
              <w:numPr>
                <w:ilvl w:val="0"/>
                <w:numId w:val="1"/>
              </w:numPr>
              <w:jc w:val="left"/>
              <w:rPr>
                <w:rFonts w:ascii="宋体" w:hAnsi="宋体"/>
                <w:color w:val="000000" w:themeColor="text1"/>
                <w:sz w:val="18"/>
                <w:szCs w:val="18"/>
              </w:rPr>
            </w:pPr>
            <w:r>
              <w:rPr>
                <w:rFonts w:hint="eastAsia" w:ascii="宋体" w:hAnsi="宋体"/>
                <w:color w:val="000000" w:themeColor="text1"/>
                <w:sz w:val="18"/>
                <w:szCs w:val="18"/>
              </w:rPr>
              <w:t>掌握产品和劳务成本的计算和分配；</w:t>
            </w:r>
          </w:p>
          <w:p w14:paraId="337A044F">
            <w:pPr>
              <w:numPr>
                <w:ilvl w:val="0"/>
                <w:numId w:val="1"/>
              </w:numPr>
              <w:jc w:val="left"/>
              <w:rPr>
                <w:color w:val="000000" w:themeColor="text1"/>
                <w:kern w:val="0"/>
                <w:sz w:val="18"/>
                <w:szCs w:val="18"/>
              </w:rPr>
            </w:pPr>
            <w:r>
              <w:rPr>
                <w:rFonts w:hint="eastAsia" w:ascii="宋体" w:hAnsi="宋体"/>
                <w:color w:val="000000" w:themeColor="text1"/>
                <w:sz w:val="18"/>
                <w:szCs w:val="18"/>
              </w:rPr>
              <w:t>掌握成本报表的编制方法。</w:t>
            </w:r>
          </w:p>
        </w:tc>
        <w:tc>
          <w:tcPr>
            <w:tcW w:w="1941" w:type="dxa"/>
            <w:shd w:val="clear" w:color="auto" w:fill="auto"/>
            <w:vAlign w:val="center"/>
          </w:tcPr>
          <w:p w14:paraId="6A9AE1F7">
            <w:pPr>
              <w:numPr>
                <w:ilvl w:val="0"/>
                <w:numId w:val="1"/>
              </w:numPr>
              <w:ind w:left="420" w:leftChars="0" w:hanging="420" w:firstLineChars="0"/>
              <w:jc w:val="left"/>
              <w:rPr>
                <w:color w:val="000000" w:themeColor="text1"/>
                <w:kern w:val="0"/>
                <w:sz w:val="18"/>
                <w:szCs w:val="18"/>
              </w:rPr>
            </w:pPr>
            <w:r>
              <w:rPr>
                <w:rFonts w:hint="eastAsia"/>
                <w:color w:val="000000" w:themeColor="text1"/>
                <w:sz w:val="18"/>
                <w:szCs w:val="18"/>
              </w:rPr>
              <w:t>成本核算与管理</w:t>
            </w:r>
          </w:p>
          <w:p w14:paraId="19FB02BE">
            <w:pPr>
              <w:pStyle w:val="6"/>
              <w:numPr>
                <w:ilvl w:val="0"/>
                <w:numId w:val="1"/>
              </w:numPr>
              <w:ind w:left="420" w:leftChars="0" w:hanging="420" w:firstLineChars="0"/>
              <w:rPr>
                <w:rFonts w:hint="eastAsia"/>
                <w:color w:val="000000" w:themeColor="text1"/>
                <w:sz w:val="18"/>
                <w:szCs w:val="18"/>
                <w:lang w:val="en-US" w:eastAsia="zh-CN"/>
              </w:rPr>
            </w:pPr>
            <w:r>
              <w:rPr>
                <w:rFonts w:hint="eastAsia"/>
                <w:color w:val="000000" w:themeColor="text1"/>
                <w:sz w:val="18"/>
                <w:szCs w:val="18"/>
                <w:lang w:val="en-US" w:eastAsia="zh-CN"/>
              </w:rPr>
              <w:t>企业财务管理</w:t>
            </w:r>
          </w:p>
          <w:p w14:paraId="560B3C84">
            <w:pPr>
              <w:pStyle w:val="6"/>
              <w:numPr>
                <w:ilvl w:val="0"/>
                <w:numId w:val="1"/>
              </w:numPr>
              <w:ind w:left="420" w:leftChars="0" w:hanging="420" w:firstLineChars="0"/>
              <w:rPr>
                <w:rFonts w:hint="eastAsia"/>
                <w:color w:val="000000" w:themeColor="text1"/>
                <w:sz w:val="18"/>
                <w:szCs w:val="18"/>
                <w:lang w:val="en-US" w:eastAsia="zh-CN"/>
              </w:rPr>
            </w:pPr>
            <w:r>
              <w:rPr>
                <w:rFonts w:hint="eastAsia"/>
                <w:color w:val="000000" w:themeColor="text1"/>
                <w:sz w:val="18"/>
                <w:szCs w:val="18"/>
                <w:lang w:val="en-US" w:eastAsia="zh-CN"/>
              </w:rPr>
              <w:t>管理会计基础</w:t>
            </w:r>
          </w:p>
          <w:p w14:paraId="03882F21">
            <w:pPr>
              <w:pStyle w:val="6"/>
              <w:numPr>
                <w:ilvl w:val="0"/>
                <w:numId w:val="1"/>
              </w:numPr>
              <w:ind w:left="420" w:leftChars="0" w:hanging="420" w:firstLineChars="0"/>
              <w:rPr>
                <w:rFonts w:hint="default"/>
                <w:color w:val="000000" w:themeColor="text1"/>
                <w:sz w:val="18"/>
                <w:szCs w:val="18"/>
                <w:lang w:val="en-US" w:eastAsia="zh-CN"/>
              </w:rPr>
            </w:pPr>
            <w:r>
              <w:rPr>
                <w:rFonts w:hint="eastAsia"/>
                <w:color w:val="000000" w:themeColor="text1"/>
                <w:sz w:val="18"/>
                <w:szCs w:val="18"/>
                <w:lang w:val="en-US" w:eastAsia="zh-CN"/>
              </w:rPr>
              <w:t>管理会计实务</w:t>
            </w:r>
          </w:p>
        </w:tc>
      </w:tr>
      <w:tr w14:paraId="081BD04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02" w:hRule="atLeast"/>
        </w:trPr>
        <w:tc>
          <w:tcPr>
            <w:tcW w:w="583" w:type="dxa"/>
            <w:tcBorders>
              <w:top w:val="single" w:color="auto" w:sz="4" w:space="0"/>
              <w:bottom w:val="single" w:color="auto" w:sz="4" w:space="0"/>
            </w:tcBorders>
            <w:shd w:val="clear" w:color="auto" w:fill="auto"/>
            <w:vAlign w:val="center"/>
          </w:tcPr>
          <w:p w14:paraId="05E213ED">
            <w:pPr>
              <w:jc w:val="center"/>
              <w:rPr>
                <w:rFonts w:hint="default"/>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4</w:t>
            </w:r>
          </w:p>
        </w:tc>
        <w:tc>
          <w:tcPr>
            <w:tcW w:w="984" w:type="dxa"/>
            <w:tcBorders>
              <w:top w:val="single" w:color="auto" w:sz="4" w:space="0"/>
              <w:bottom w:val="single" w:color="auto" w:sz="4" w:space="0"/>
            </w:tcBorders>
            <w:shd w:val="clear" w:color="auto" w:fill="auto"/>
            <w:vAlign w:val="center"/>
          </w:tcPr>
          <w:p w14:paraId="60EE30C0">
            <w:pPr>
              <w:jc w:val="center"/>
              <w:rPr>
                <w:rFonts w:hint="default" w:eastAsia="宋体"/>
                <w:color w:val="000000" w:themeColor="text1"/>
                <w:kern w:val="0"/>
                <w:sz w:val="18"/>
                <w:szCs w:val="18"/>
                <w:lang w:val="en-US" w:eastAsia="zh-CN"/>
              </w:rPr>
            </w:pPr>
            <w:r>
              <w:rPr>
                <w:rFonts w:hint="eastAsia"/>
                <w:color w:val="000000" w:themeColor="text1"/>
                <w:kern w:val="0"/>
                <w:sz w:val="18"/>
                <w:szCs w:val="18"/>
                <w:lang w:val="en-US" w:eastAsia="zh-CN"/>
              </w:rPr>
              <w:t>财务分析专员</w:t>
            </w:r>
          </w:p>
        </w:tc>
        <w:tc>
          <w:tcPr>
            <w:tcW w:w="3207" w:type="dxa"/>
            <w:tcBorders>
              <w:top w:val="single" w:color="auto" w:sz="4" w:space="0"/>
              <w:bottom w:val="single" w:color="auto" w:sz="4" w:space="0"/>
            </w:tcBorders>
            <w:shd w:val="clear" w:color="auto" w:fill="auto"/>
            <w:vAlign w:val="center"/>
          </w:tcPr>
          <w:p w14:paraId="7F2FF8D6">
            <w:pPr>
              <w:numPr>
                <w:ilvl w:val="0"/>
                <w:numId w:val="1"/>
              </w:numPr>
              <w:jc w:val="left"/>
              <w:rPr>
                <w:rFonts w:ascii="Arial" w:hAnsi="Arial" w:cs="Arial"/>
                <w:color w:val="000000" w:themeColor="text1"/>
                <w:sz w:val="18"/>
                <w:szCs w:val="18"/>
                <w:shd w:val="clear" w:color="auto" w:fill="FFFFFF"/>
              </w:rPr>
            </w:pPr>
            <w:r>
              <w:rPr>
                <w:rFonts w:hint="eastAsia" w:ascii="Arial" w:hAnsi="Arial" w:cs="Arial"/>
                <w:color w:val="000000" w:themeColor="text1"/>
                <w:sz w:val="18"/>
                <w:szCs w:val="18"/>
                <w:shd w:val="clear" w:color="auto" w:fill="FFFFFF"/>
                <w:lang w:val="en-US" w:eastAsia="zh-CN"/>
              </w:rPr>
              <w:t>分析和解读日常业务领域数据</w:t>
            </w:r>
          </w:p>
          <w:p w14:paraId="1FEA385A">
            <w:pPr>
              <w:pStyle w:val="6"/>
              <w:numPr>
                <w:ilvl w:val="0"/>
                <w:numId w:val="1"/>
              </w:numPr>
              <w:ind w:left="420" w:leftChars="0" w:hanging="420" w:firstLineChars="0"/>
              <w:rPr>
                <w:rFonts w:hint="eastAsia"/>
                <w:sz w:val="18"/>
                <w:szCs w:val="18"/>
                <w:lang w:val="en-US" w:eastAsia="zh-CN"/>
              </w:rPr>
            </w:pPr>
            <w:r>
              <w:rPr>
                <w:rFonts w:hint="eastAsia"/>
                <w:sz w:val="18"/>
                <w:szCs w:val="18"/>
                <w:lang w:val="en-US" w:eastAsia="zh-CN"/>
              </w:rPr>
              <w:t>参与制定业务预算和计划，确保其与公司战略目标一致，并跟踪执行情况</w:t>
            </w:r>
          </w:p>
          <w:p w14:paraId="1D93941D">
            <w:pPr>
              <w:pStyle w:val="6"/>
              <w:numPr>
                <w:ilvl w:val="0"/>
                <w:numId w:val="1"/>
              </w:numPr>
              <w:ind w:left="420" w:leftChars="0" w:hanging="420" w:firstLineChars="0"/>
              <w:rPr>
                <w:rFonts w:hint="eastAsia"/>
                <w:sz w:val="18"/>
                <w:szCs w:val="18"/>
                <w:lang w:val="en-US" w:eastAsia="zh-CN"/>
              </w:rPr>
            </w:pPr>
            <w:r>
              <w:rPr>
                <w:rFonts w:hint="eastAsia"/>
                <w:sz w:val="18"/>
                <w:szCs w:val="18"/>
                <w:lang w:val="en-US" w:eastAsia="zh-CN"/>
              </w:rPr>
              <w:t>制定和完善分析工具和模型，提高数据处理效率和报告准确性</w:t>
            </w:r>
          </w:p>
          <w:p w14:paraId="622162EA">
            <w:pPr>
              <w:pStyle w:val="6"/>
              <w:rPr>
                <w:rFonts w:hint="default"/>
                <w:sz w:val="18"/>
                <w:szCs w:val="18"/>
                <w:lang w:val="en-US" w:eastAsia="zh-CN"/>
              </w:rPr>
            </w:pPr>
          </w:p>
        </w:tc>
        <w:tc>
          <w:tcPr>
            <w:tcW w:w="2609" w:type="dxa"/>
            <w:tcBorders>
              <w:top w:val="single" w:color="auto" w:sz="4" w:space="0"/>
              <w:bottom w:val="single" w:color="auto" w:sz="4" w:space="0"/>
            </w:tcBorders>
            <w:shd w:val="clear" w:color="auto" w:fill="auto"/>
            <w:vAlign w:val="center"/>
          </w:tcPr>
          <w:p w14:paraId="3B82548F">
            <w:pPr>
              <w:numPr>
                <w:ilvl w:val="0"/>
                <w:numId w:val="1"/>
              </w:numPr>
              <w:jc w:val="left"/>
              <w:rPr>
                <w:rFonts w:hint="eastAsia"/>
                <w:color w:val="000000" w:themeColor="text1"/>
                <w:sz w:val="18"/>
                <w:szCs w:val="18"/>
              </w:rPr>
            </w:pPr>
            <w:r>
              <w:rPr>
                <w:rFonts w:hint="eastAsia"/>
                <w:color w:val="000000" w:themeColor="text1"/>
                <w:sz w:val="18"/>
                <w:szCs w:val="18"/>
                <w:lang w:val="en-US" w:eastAsia="zh-CN"/>
              </w:rPr>
              <w:t>掌握快速学习和适应能力，能够理解和应对业务变化和挑战</w:t>
            </w:r>
          </w:p>
          <w:p w14:paraId="62A04B33">
            <w:pPr>
              <w:pStyle w:val="6"/>
              <w:numPr>
                <w:ilvl w:val="0"/>
                <w:numId w:val="1"/>
              </w:numPr>
              <w:ind w:left="420" w:leftChars="0" w:hanging="420" w:firstLineChars="0"/>
              <w:rPr>
                <w:rFonts w:hint="eastAsia"/>
                <w:color w:val="000000" w:themeColor="text1"/>
                <w:sz w:val="18"/>
                <w:szCs w:val="18"/>
                <w:lang w:val="en-US" w:eastAsia="zh-CN"/>
              </w:rPr>
            </w:pPr>
            <w:r>
              <w:rPr>
                <w:rFonts w:hint="eastAsia"/>
                <w:color w:val="000000" w:themeColor="text1"/>
                <w:sz w:val="18"/>
                <w:szCs w:val="18"/>
                <w:lang w:val="en-US" w:eastAsia="zh-CN"/>
              </w:rPr>
              <w:t>熟悉分析工具与基本模型</w:t>
            </w:r>
          </w:p>
          <w:p w14:paraId="2CCDBEC4">
            <w:pPr>
              <w:pStyle w:val="6"/>
              <w:numPr>
                <w:ilvl w:val="0"/>
                <w:numId w:val="1"/>
              </w:numPr>
              <w:ind w:left="420" w:leftChars="0" w:hanging="420" w:firstLineChars="0"/>
              <w:rPr>
                <w:rFonts w:hint="eastAsia"/>
                <w:color w:val="000000" w:themeColor="text1"/>
                <w:sz w:val="18"/>
                <w:szCs w:val="18"/>
                <w:lang w:val="en-US" w:eastAsia="zh-CN"/>
              </w:rPr>
            </w:pPr>
            <w:r>
              <w:rPr>
                <w:rFonts w:hint="eastAsia"/>
                <w:color w:val="000000" w:themeColor="text1"/>
                <w:sz w:val="18"/>
                <w:szCs w:val="18"/>
                <w:lang w:val="en-US" w:eastAsia="zh-CN"/>
              </w:rPr>
              <w:t>具备数据分析和解读能力</w:t>
            </w:r>
          </w:p>
          <w:p w14:paraId="2203ADEA">
            <w:pPr>
              <w:pStyle w:val="6"/>
              <w:numPr>
                <w:ilvl w:val="0"/>
                <w:numId w:val="1"/>
              </w:numPr>
              <w:ind w:left="420" w:leftChars="0" w:hanging="420" w:firstLineChars="0"/>
              <w:rPr>
                <w:rFonts w:hint="default"/>
                <w:color w:val="000000" w:themeColor="text1"/>
                <w:sz w:val="18"/>
                <w:szCs w:val="18"/>
                <w:lang w:val="en-US" w:eastAsia="zh-CN"/>
              </w:rPr>
            </w:pPr>
            <w:r>
              <w:rPr>
                <w:rFonts w:hint="eastAsia"/>
                <w:color w:val="000000" w:themeColor="text1"/>
                <w:sz w:val="18"/>
                <w:szCs w:val="18"/>
                <w:lang w:val="en-US" w:eastAsia="zh-CN"/>
              </w:rPr>
              <w:t>具备良好的沟通与协调能力</w:t>
            </w:r>
          </w:p>
        </w:tc>
        <w:tc>
          <w:tcPr>
            <w:tcW w:w="1941" w:type="dxa"/>
            <w:tcBorders>
              <w:top w:val="single" w:color="auto" w:sz="4" w:space="0"/>
              <w:bottom w:val="single" w:color="auto" w:sz="4" w:space="0"/>
            </w:tcBorders>
            <w:shd w:val="clear" w:color="auto" w:fill="auto"/>
            <w:vAlign w:val="center"/>
          </w:tcPr>
          <w:p w14:paraId="3716D6B5">
            <w:pPr>
              <w:pStyle w:val="2"/>
              <w:numPr>
                <w:ilvl w:val="0"/>
                <w:numId w:val="1"/>
              </w:numPr>
              <w:ind w:left="420" w:leftChars="0" w:hanging="420" w:firstLineChars="0"/>
              <w:rPr>
                <w:rFonts w:hint="eastAsia"/>
                <w:color w:val="000000" w:themeColor="text1"/>
                <w:kern w:val="0"/>
                <w:sz w:val="18"/>
                <w:szCs w:val="18"/>
                <w:lang w:val="en-US" w:eastAsia="zh-CN"/>
              </w:rPr>
            </w:pPr>
            <w:r>
              <w:rPr>
                <w:rFonts w:hint="eastAsia"/>
                <w:color w:val="000000" w:themeColor="text1"/>
                <w:kern w:val="0"/>
                <w:sz w:val="18"/>
                <w:szCs w:val="18"/>
                <w:lang w:val="en-US" w:eastAsia="zh-CN"/>
              </w:rPr>
              <w:t>财务大数据基础</w:t>
            </w:r>
          </w:p>
          <w:p w14:paraId="365C38A8">
            <w:pPr>
              <w:pStyle w:val="2"/>
              <w:numPr>
                <w:ilvl w:val="0"/>
                <w:numId w:val="1"/>
              </w:numPr>
              <w:ind w:left="420" w:leftChars="0" w:hanging="420" w:firstLineChars="0"/>
              <w:rPr>
                <w:rFonts w:hint="default"/>
                <w:color w:val="000000" w:themeColor="text1"/>
                <w:kern w:val="0"/>
                <w:sz w:val="18"/>
                <w:szCs w:val="18"/>
                <w:lang w:val="en-US" w:eastAsia="zh-CN"/>
              </w:rPr>
            </w:pPr>
            <w:r>
              <w:rPr>
                <w:rFonts w:hint="eastAsia"/>
                <w:color w:val="000000" w:themeColor="text1"/>
                <w:kern w:val="0"/>
                <w:sz w:val="18"/>
                <w:szCs w:val="18"/>
                <w:lang w:val="en-US" w:eastAsia="zh-CN"/>
              </w:rPr>
              <w:t>财务大数据分析</w:t>
            </w:r>
          </w:p>
          <w:p w14:paraId="56F7F840">
            <w:pPr>
              <w:pStyle w:val="2"/>
              <w:numPr>
                <w:ilvl w:val="0"/>
                <w:numId w:val="1"/>
              </w:numPr>
              <w:ind w:left="420" w:leftChars="0" w:hanging="420" w:firstLineChars="0"/>
              <w:rPr>
                <w:rFonts w:hint="default"/>
                <w:color w:val="000000" w:themeColor="text1"/>
                <w:kern w:val="0"/>
                <w:sz w:val="18"/>
                <w:szCs w:val="18"/>
                <w:lang w:val="en-US" w:eastAsia="zh-CN"/>
              </w:rPr>
            </w:pPr>
            <w:r>
              <w:rPr>
                <w:rFonts w:hint="eastAsia"/>
                <w:color w:val="000000" w:themeColor="text1"/>
                <w:kern w:val="0"/>
                <w:sz w:val="18"/>
                <w:szCs w:val="18"/>
                <w:lang w:val="en-US" w:eastAsia="zh-CN"/>
              </w:rPr>
              <w:t>行业会计比较</w:t>
            </w:r>
          </w:p>
        </w:tc>
      </w:tr>
      <w:tr w14:paraId="4C4C2D4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2" w:hRule="atLeast"/>
        </w:trPr>
        <w:tc>
          <w:tcPr>
            <w:tcW w:w="583" w:type="dxa"/>
            <w:tcBorders>
              <w:top w:val="single" w:color="auto" w:sz="4" w:space="0"/>
              <w:bottom w:val="single" w:color="auto" w:sz="4" w:space="0"/>
            </w:tcBorders>
            <w:shd w:val="clear" w:color="auto" w:fill="auto"/>
            <w:vAlign w:val="center"/>
          </w:tcPr>
          <w:p w14:paraId="0BF119FD">
            <w:pPr>
              <w:jc w:val="center"/>
              <w:rPr>
                <w:rFonts w:hint="eastAsia" w:eastAsia="宋体"/>
                <w:color w:val="000000" w:themeColor="text1"/>
                <w:kern w:val="0"/>
                <w:sz w:val="18"/>
                <w:szCs w:val="18"/>
                <w:lang w:eastAsia="zh-CN"/>
              </w:rPr>
            </w:pPr>
            <w:r>
              <w:rPr>
                <w:rFonts w:hint="default" w:ascii="Times New Roman" w:hAnsi="Times New Roman" w:cs="Times New Roman"/>
                <w:color w:val="000000" w:themeColor="text1"/>
                <w:kern w:val="0"/>
                <w:sz w:val="18"/>
                <w:szCs w:val="18"/>
                <w:lang w:val="en-US" w:eastAsia="zh-CN"/>
              </w:rPr>
              <w:t>5</w:t>
            </w:r>
          </w:p>
        </w:tc>
        <w:tc>
          <w:tcPr>
            <w:tcW w:w="984" w:type="dxa"/>
            <w:tcBorders>
              <w:top w:val="single" w:color="auto" w:sz="4" w:space="0"/>
              <w:bottom w:val="single" w:color="auto" w:sz="4" w:space="0"/>
            </w:tcBorders>
            <w:shd w:val="clear" w:color="auto" w:fill="auto"/>
            <w:vAlign w:val="center"/>
          </w:tcPr>
          <w:p w14:paraId="2D20B9C6">
            <w:pPr>
              <w:jc w:val="center"/>
              <w:rPr>
                <w:color w:val="000000" w:themeColor="text1"/>
                <w:kern w:val="0"/>
                <w:sz w:val="18"/>
                <w:szCs w:val="18"/>
              </w:rPr>
            </w:pPr>
            <w:r>
              <w:rPr>
                <w:rFonts w:hint="eastAsia"/>
                <w:color w:val="000000" w:themeColor="text1"/>
                <w:kern w:val="0"/>
                <w:sz w:val="18"/>
                <w:szCs w:val="18"/>
              </w:rPr>
              <w:t>审计助理</w:t>
            </w:r>
          </w:p>
        </w:tc>
        <w:tc>
          <w:tcPr>
            <w:tcW w:w="3207" w:type="dxa"/>
            <w:tcBorders>
              <w:top w:val="single" w:color="auto" w:sz="4" w:space="0"/>
              <w:bottom w:val="single" w:color="auto" w:sz="4" w:space="0"/>
            </w:tcBorders>
            <w:shd w:val="clear" w:color="auto" w:fill="auto"/>
            <w:vAlign w:val="center"/>
          </w:tcPr>
          <w:p w14:paraId="3A8E0381">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参与执行各类型的审计业务</w:t>
            </w:r>
            <w:r>
              <w:rPr>
                <w:rFonts w:hint="eastAsia" w:ascii="Arial" w:hAnsi="Arial" w:cs="Arial"/>
                <w:color w:val="000000" w:themeColor="text1"/>
                <w:sz w:val="18"/>
                <w:szCs w:val="18"/>
                <w:shd w:val="clear" w:color="auto" w:fill="FFFFFF"/>
              </w:rPr>
              <w:t>；</w:t>
            </w:r>
          </w:p>
          <w:p w14:paraId="4D42F6D1">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编制审计业务工作底稿</w:t>
            </w:r>
            <w:r>
              <w:rPr>
                <w:rFonts w:hint="eastAsia" w:ascii="Arial" w:hAnsi="Arial" w:cs="Arial"/>
                <w:color w:val="000000" w:themeColor="text1"/>
                <w:sz w:val="18"/>
                <w:szCs w:val="18"/>
                <w:shd w:val="clear" w:color="auto" w:fill="FFFFFF"/>
              </w:rPr>
              <w:t>；</w:t>
            </w:r>
          </w:p>
          <w:p w14:paraId="5BEFFF86">
            <w:pPr>
              <w:numPr>
                <w:ilvl w:val="0"/>
                <w:numId w:val="1"/>
              </w:numPr>
              <w:jc w:val="left"/>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对所有涉及的审计事项编写内部报告</w:t>
            </w:r>
            <w:r>
              <w:rPr>
                <w:rFonts w:hint="eastAsia" w:ascii="Arial" w:hAnsi="Arial" w:cs="Arial"/>
                <w:color w:val="000000" w:themeColor="text1"/>
                <w:sz w:val="18"/>
                <w:szCs w:val="18"/>
                <w:shd w:val="clear" w:color="auto" w:fill="FFFFFF"/>
              </w:rPr>
              <w:t>；</w:t>
            </w:r>
          </w:p>
          <w:p w14:paraId="4DEFAF5D">
            <w:pPr>
              <w:numPr>
                <w:ilvl w:val="0"/>
                <w:numId w:val="1"/>
              </w:numPr>
              <w:jc w:val="left"/>
              <w:rPr>
                <w:color w:val="000000" w:themeColor="text1"/>
                <w:kern w:val="0"/>
                <w:sz w:val="18"/>
                <w:szCs w:val="18"/>
              </w:rPr>
            </w:pPr>
            <w:r>
              <w:rPr>
                <w:rFonts w:ascii="Arial" w:hAnsi="Arial" w:cs="Arial"/>
                <w:color w:val="000000" w:themeColor="text1"/>
                <w:sz w:val="18"/>
                <w:szCs w:val="18"/>
                <w:shd w:val="clear" w:color="auto" w:fill="FFFFFF"/>
              </w:rPr>
              <w:t>协助项目审计负责人做好审计资料整理归档工。</w:t>
            </w:r>
          </w:p>
        </w:tc>
        <w:tc>
          <w:tcPr>
            <w:tcW w:w="2609" w:type="dxa"/>
            <w:tcBorders>
              <w:top w:val="single" w:color="auto" w:sz="4" w:space="0"/>
              <w:bottom w:val="single" w:color="auto" w:sz="4" w:space="0"/>
            </w:tcBorders>
            <w:shd w:val="clear" w:color="auto" w:fill="auto"/>
            <w:vAlign w:val="center"/>
          </w:tcPr>
          <w:p w14:paraId="0B76D33D">
            <w:pPr>
              <w:numPr>
                <w:ilvl w:val="0"/>
                <w:numId w:val="1"/>
              </w:numPr>
              <w:jc w:val="left"/>
              <w:rPr>
                <w:color w:val="000000" w:themeColor="text1"/>
                <w:sz w:val="18"/>
                <w:szCs w:val="18"/>
              </w:rPr>
            </w:pPr>
            <w:r>
              <w:rPr>
                <w:rFonts w:hint="eastAsia"/>
                <w:color w:val="000000" w:themeColor="text1"/>
                <w:sz w:val="18"/>
                <w:szCs w:val="18"/>
              </w:rPr>
              <w:t>掌握总体审计策略和具体审计计划的制定；</w:t>
            </w:r>
          </w:p>
          <w:p w14:paraId="6B03B700">
            <w:pPr>
              <w:numPr>
                <w:ilvl w:val="0"/>
                <w:numId w:val="1"/>
              </w:numPr>
              <w:jc w:val="left"/>
              <w:rPr>
                <w:color w:val="000000" w:themeColor="text1"/>
                <w:sz w:val="18"/>
                <w:szCs w:val="18"/>
              </w:rPr>
            </w:pPr>
            <w:r>
              <w:rPr>
                <w:rFonts w:hint="eastAsia"/>
                <w:color w:val="000000" w:themeColor="text1"/>
                <w:sz w:val="18"/>
                <w:szCs w:val="18"/>
                <w:lang w:val="en-US" w:eastAsia="zh-CN"/>
              </w:rPr>
              <w:t>具备</w:t>
            </w:r>
            <w:r>
              <w:rPr>
                <w:rFonts w:hint="eastAsia"/>
                <w:color w:val="000000" w:themeColor="text1"/>
                <w:sz w:val="18"/>
                <w:szCs w:val="18"/>
              </w:rPr>
              <w:t>识别和评估重大错报风险</w:t>
            </w:r>
            <w:r>
              <w:rPr>
                <w:rFonts w:hint="eastAsia"/>
                <w:color w:val="000000" w:themeColor="text1"/>
                <w:sz w:val="18"/>
                <w:szCs w:val="18"/>
                <w:lang w:val="en-US" w:eastAsia="zh-CN"/>
              </w:rPr>
              <w:t>的能力</w:t>
            </w:r>
            <w:r>
              <w:rPr>
                <w:rFonts w:hint="eastAsia"/>
                <w:color w:val="000000" w:themeColor="text1"/>
                <w:sz w:val="18"/>
                <w:szCs w:val="18"/>
              </w:rPr>
              <w:t>；</w:t>
            </w:r>
          </w:p>
          <w:p w14:paraId="5A895837">
            <w:pPr>
              <w:numPr>
                <w:ilvl w:val="0"/>
                <w:numId w:val="1"/>
              </w:numPr>
              <w:jc w:val="left"/>
              <w:rPr>
                <w:color w:val="000000" w:themeColor="text1"/>
                <w:kern w:val="0"/>
                <w:sz w:val="18"/>
                <w:szCs w:val="18"/>
              </w:rPr>
            </w:pPr>
            <w:r>
              <w:rPr>
                <w:rFonts w:hint="eastAsia"/>
                <w:color w:val="000000" w:themeColor="text1"/>
                <w:sz w:val="18"/>
                <w:szCs w:val="18"/>
              </w:rPr>
              <w:t>掌握审计程序的设计和实施；</w:t>
            </w:r>
          </w:p>
          <w:p w14:paraId="384A6625">
            <w:pPr>
              <w:numPr>
                <w:ilvl w:val="0"/>
                <w:numId w:val="1"/>
              </w:numPr>
              <w:jc w:val="left"/>
              <w:rPr>
                <w:color w:val="000000" w:themeColor="text1"/>
                <w:kern w:val="0"/>
                <w:sz w:val="18"/>
                <w:szCs w:val="18"/>
              </w:rPr>
            </w:pPr>
            <w:r>
              <w:rPr>
                <w:rFonts w:hint="eastAsia"/>
                <w:color w:val="000000" w:themeColor="text1"/>
                <w:sz w:val="18"/>
                <w:szCs w:val="18"/>
              </w:rPr>
              <w:t>掌握审计报告的填写与出具。</w:t>
            </w:r>
          </w:p>
        </w:tc>
        <w:tc>
          <w:tcPr>
            <w:tcW w:w="1941" w:type="dxa"/>
            <w:tcBorders>
              <w:top w:val="single" w:color="auto" w:sz="4" w:space="0"/>
              <w:bottom w:val="single" w:color="auto" w:sz="4" w:space="0"/>
            </w:tcBorders>
            <w:shd w:val="clear" w:color="auto" w:fill="auto"/>
            <w:vAlign w:val="center"/>
          </w:tcPr>
          <w:p w14:paraId="7D903586">
            <w:pPr>
              <w:jc w:val="left"/>
              <w:rPr>
                <w:color w:val="000000" w:themeColor="text1"/>
                <w:sz w:val="18"/>
                <w:szCs w:val="18"/>
              </w:rPr>
            </w:pPr>
          </w:p>
          <w:p w14:paraId="25FBF2DF">
            <w:pPr>
              <w:pStyle w:val="2"/>
              <w:numPr>
                <w:ilvl w:val="0"/>
                <w:numId w:val="1"/>
              </w:numPr>
              <w:ind w:left="420" w:leftChars="0" w:hanging="420" w:firstLineChars="0"/>
              <w:jc w:val="left"/>
              <w:rPr>
                <w:color w:val="000000" w:themeColor="text1"/>
                <w:sz w:val="18"/>
                <w:szCs w:val="18"/>
              </w:rPr>
            </w:pPr>
            <w:r>
              <w:rPr>
                <w:rFonts w:hint="eastAsia"/>
                <w:color w:val="000000" w:themeColor="text1"/>
                <w:sz w:val="18"/>
                <w:szCs w:val="18"/>
              </w:rPr>
              <w:t>审计基础与实务</w:t>
            </w:r>
          </w:p>
          <w:p w14:paraId="5D7BCFDF">
            <w:pPr>
              <w:pStyle w:val="2"/>
              <w:numPr>
                <w:ilvl w:val="0"/>
                <w:numId w:val="1"/>
              </w:numPr>
              <w:ind w:left="420" w:leftChars="0" w:hanging="420" w:firstLineChars="0"/>
              <w:jc w:val="left"/>
              <w:rPr>
                <w:color w:val="000000" w:themeColor="text1"/>
                <w:kern w:val="0"/>
                <w:sz w:val="18"/>
                <w:szCs w:val="18"/>
              </w:rPr>
            </w:pPr>
            <w:r>
              <w:rPr>
                <w:rFonts w:hint="eastAsia"/>
                <w:color w:val="000000" w:themeColor="text1"/>
                <w:sz w:val="18"/>
                <w:szCs w:val="18"/>
              </w:rPr>
              <w:t>财务大数据分析</w:t>
            </w:r>
          </w:p>
          <w:p w14:paraId="25DF5A09">
            <w:pPr>
              <w:pStyle w:val="2"/>
              <w:rPr>
                <w:color w:val="000000" w:themeColor="text1"/>
                <w:kern w:val="0"/>
                <w:sz w:val="18"/>
                <w:szCs w:val="18"/>
              </w:rPr>
            </w:pPr>
          </w:p>
        </w:tc>
      </w:tr>
    </w:tbl>
    <w:p w14:paraId="37F2B765">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五、培养目标与规格</w:t>
      </w:r>
    </w:p>
    <w:p w14:paraId="4072B7E8">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outlineLvl w:val="0"/>
        <w:rPr>
          <w:b/>
          <w:bCs/>
          <w:color w:val="000000"/>
          <w:kern w:val="0"/>
          <w:szCs w:val="21"/>
        </w:rPr>
      </w:pPr>
      <w:r>
        <w:rPr>
          <w:b/>
          <w:bCs/>
          <w:color w:val="000000"/>
          <w:kern w:val="0"/>
          <w:szCs w:val="21"/>
        </w:rPr>
        <w:t>（一）培养目标定位</w:t>
      </w:r>
    </w:p>
    <w:p w14:paraId="0426A3A3">
      <w:pPr>
        <w:pStyle w:val="18"/>
        <w:keepNext w:val="0"/>
        <w:keepLines w:val="0"/>
        <w:pageBreakBefore w:val="0"/>
        <w:kinsoku/>
        <w:wordWrap/>
        <w:overflowPunct/>
        <w:topLinePunct w:val="0"/>
        <w:autoSpaceDE/>
        <w:autoSpaceDN/>
        <w:bidi w:val="0"/>
        <w:adjustRightInd/>
        <w:snapToGrid/>
        <w:spacing w:line="400" w:lineRule="exact"/>
        <w:textAlignment w:val="auto"/>
        <w:rPr>
          <w:rFonts w:eastAsia="仿宋_GB2312"/>
          <w:i/>
          <w:iCs/>
          <w:color w:val="000000" w:themeColor="text1"/>
          <w:kern w:val="0"/>
          <w:sz w:val="18"/>
          <w:szCs w:val="18"/>
        </w:rPr>
      </w:pPr>
      <w:r>
        <w:rPr>
          <w:rFonts w:hint="eastAsia" w:ascii="宋体" w:hAnsi="宋体" w:cs="宋体"/>
          <w:color w:val="000000" w:themeColor="text1"/>
          <w:kern w:val="0"/>
          <w:szCs w:val="21"/>
        </w:rPr>
        <w:t>本专业培养思想政治坚定、德技并修、德智体美劳全面发展的社会主义现代化建设事业的建设者和接班人，</w:t>
      </w:r>
      <w:r>
        <w:rPr>
          <w:rFonts w:ascii="宋体" w:hAnsi="宋体" w:cs="宋体"/>
          <w:color w:val="000000" w:themeColor="text1"/>
          <w:szCs w:val="21"/>
        </w:rPr>
        <w:t>面向企事业单位及代理记账公司、会计师事务所、税务师事务所、管理咨询公司等中介服务机构的会计、审计及税务等岗位（群）。</w:t>
      </w:r>
      <w:r>
        <w:rPr>
          <w:rFonts w:hint="eastAsia" w:ascii="宋体" w:hAnsi="宋体" w:cs="宋体"/>
          <w:color w:val="000000" w:themeColor="text1"/>
          <w:szCs w:val="21"/>
          <w:shd w:val="clear" w:color="auto" w:fill="FFFFFF"/>
        </w:rPr>
        <w:t>具备企业财务会计核算和管理会计预测、决策、分析、控制、评价等能力</w:t>
      </w:r>
      <w:r>
        <w:rPr>
          <w:rFonts w:hint="eastAsia" w:ascii="宋体" w:hAnsi="宋体" w:cs="宋体"/>
          <w:color w:val="000000" w:themeColor="text1"/>
          <w:szCs w:val="21"/>
        </w:rPr>
        <w:t>，</w:t>
      </w:r>
      <w:r>
        <w:rPr>
          <w:rFonts w:ascii="宋体" w:hAnsi="宋体" w:cs="宋体"/>
          <w:color w:val="000000" w:themeColor="text1"/>
          <w:szCs w:val="21"/>
        </w:rPr>
        <w:t>能够从事企</w:t>
      </w:r>
      <w:r>
        <w:rPr>
          <w:rFonts w:hint="eastAsia" w:ascii="宋体" w:hAnsi="宋体" w:cs="宋体"/>
          <w:color w:val="000000" w:themeColor="text1"/>
          <w:szCs w:val="21"/>
        </w:rPr>
        <w:t>事</w:t>
      </w:r>
      <w:r>
        <w:rPr>
          <w:rFonts w:ascii="宋体" w:hAnsi="宋体" w:cs="宋体"/>
          <w:color w:val="000000" w:themeColor="text1"/>
          <w:szCs w:val="21"/>
        </w:rPr>
        <w:t>业</w:t>
      </w:r>
      <w:r>
        <w:rPr>
          <w:rFonts w:hint="eastAsia" w:ascii="宋体" w:hAnsi="宋体" w:cs="宋体"/>
          <w:color w:val="000000" w:themeColor="text1"/>
          <w:szCs w:val="21"/>
        </w:rPr>
        <w:t>单位</w:t>
      </w:r>
      <w:r>
        <w:rPr>
          <w:rFonts w:ascii="宋体" w:hAnsi="宋体" w:cs="宋体"/>
          <w:color w:val="000000" w:themeColor="text1"/>
          <w:szCs w:val="21"/>
        </w:rPr>
        <w:t>经济业务核算、企业会计风险控制、财务审计、企业成本核算与管控、企业财务大数据分析、企业会计信息管理及税费申报与管理等工作的高素质技术技能人才。</w:t>
      </w:r>
    </w:p>
    <w:p w14:paraId="0EF1A422">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outlineLvl w:val="0"/>
        <w:rPr>
          <w:rFonts w:eastAsiaTheme="minorEastAsia"/>
          <w:b/>
          <w:bCs/>
          <w:color w:val="000000"/>
          <w:kern w:val="0"/>
          <w:szCs w:val="21"/>
        </w:rPr>
      </w:pPr>
      <w:r>
        <w:rPr>
          <w:rFonts w:eastAsiaTheme="minorEastAsia"/>
          <w:b/>
          <w:bCs/>
          <w:color w:val="000000"/>
          <w:kern w:val="0"/>
          <w:szCs w:val="21"/>
        </w:rPr>
        <w:t>（二）培养规格</w:t>
      </w:r>
    </w:p>
    <w:p w14:paraId="72A8EA4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eastAsiaTheme="minorEastAsia"/>
          <w:color w:val="000000"/>
          <w:kern w:val="0"/>
          <w:szCs w:val="21"/>
        </w:rPr>
      </w:pPr>
      <w:r>
        <w:rPr>
          <w:rFonts w:eastAsiaTheme="minorEastAsia"/>
          <w:color w:val="000000"/>
          <w:kern w:val="0"/>
          <w:szCs w:val="21"/>
        </w:rPr>
        <w:t>本专业毕业生应在素质、知识和能力等方面达到以下要求：</w:t>
      </w:r>
    </w:p>
    <w:p w14:paraId="0F514D3F">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outlineLvl w:val="0"/>
        <w:rPr>
          <w:rFonts w:eastAsiaTheme="minorEastAsia"/>
          <w:b/>
          <w:bCs/>
          <w:color w:val="000000"/>
          <w:kern w:val="0"/>
          <w:szCs w:val="21"/>
        </w:rPr>
      </w:pPr>
      <w:r>
        <w:rPr>
          <w:rFonts w:hint="default" w:ascii="Times New Roman" w:hAnsi="Times New Roman" w:cs="Times New Roman" w:eastAsiaTheme="minorEastAsia"/>
          <w:b/>
          <w:bCs/>
          <w:color w:val="000000"/>
          <w:kern w:val="0"/>
          <w:szCs w:val="21"/>
        </w:rPr>
        <w:t>1</w:t>
      </w:r>
      <w:r>
        <w:rPr>
          <w:rFonts w:eastAsiaTheme="minorEastAsia"/>
          <w:b/>
          <w:bCs/>
          <w:color w:val="000000"/>
          <w:kern w:val="0"/>
          <w:szCs w:val="21"/>
        </w:rPr>
        <w:t xml:space="preserve"> 素质要求</w:t>
      </w:r>
    </w:p>
    <w:p w14:paraId="5816A0EA">
      <w:pPr>
        <w:keepNext w:val="0"/>
        <w:keepLines w:val="0"/>
        <w:pageBreakBefore w:val="0"/>
        <w:numPr>
          <w:ilvl w:val="0"/>
          <w:numId w:val="2"/>
        </w:numPr>
        <w:kinsoku/>
        <w:wordWrap/>
        <w:overflowPunct/>
        <w:topLinePunct w:val="0"/>
        <w:autoSpaceDE/>
        <w:autoSpaceDN/>
        <w:bidi w:val="0"/>
        <w:adjustRightInd/>
        <w:snapToGrid/>
        <w:spacing w:line="400" w:lineRule="exact"/>
        <w:ind w:left="0" w:firstLine="420" w:firstLineChars="200"/>
        <w:jc w:val="left"/>
        <w:textAlignment w:val="auto"/>
        <w:rPr>
          <w:rFonts w:eastAsiaTheme="minorEastAsia"/>
          <w:color w:val="000000"/>
          <w:kern w:val="0"/>
          <w:szCs w:val="21"/>
        </w:rPr>
      </w:pPr>
      <w:r>
        <w:rPr>
          <w:color w:val="000000"/>
          <w:kern w:val="0"/>
          <w:szCs w:val="21"/>
        </w:rPr>
        <w:t>坚定拥护中国共产党领导和我国社会主义制度，在习近平新时代中国特色社会主义思想指引下，践行社会主义核心价值观，具有深厚的爱国情感和中华民族自豪感</w:t>
      </w:r>
      <w:r>
        <w:rPr>
          <w:rFonts w:eastAsiaTheme="minorEastAsia"/>
          <w:color w:val="000000"/>
          <w:kern w:val="0"/>
          <w:szCs w:val="21"/>
        </w:rPr>
        <w:t>；</w:t>
      </w:r>
    </w:p>
    <w:p w14:paraId="5C5E9830">
      <w:pPr>
        <w:keepNext w:val="0"/>
        <w:keepLines w:val="0"/>
        <w:pageBreakBefore w:val="0"/>
        <w:numPr>
          <w:ilvl w:val="0"/>
          <w:numId w:val="2"/>
        </w:numPr>
        <w:kinsoku/>
        <w:wordWrap/>
        <w:overflowPunct/>
        <w:topLinePunct w:val="0"/>
        <w:autoSpaceDE/>
        <w:autoSpaceDN/>
        <w:bidi w:val="0"/>
        <w:adjustRightInd/>
        <w:snapToGrid/>
        <w:spacing w:line="400" w:lineRule="exact"/>
        <w:ind w:left="0" w:firstLine="420" w:firstLineChars="200"/>
        <w:jc w:val="left"/>
        <w:textAlignment w:val="auto"/>
        <w:rPr>
          <w:rFonts w:eastAsiaTheme="minorEastAsia"/>
          <w:color w:val="000000"/>
          <w:kern w:val="0"/>
          <w:szCs w:val="21"/>
        </w:rPr>
      </w:pPr>
      <w:r>
        <w:rPr>
          <w:color w:val="000000"/>
          <w:kern w:val="0"/>
          <w:szCs w:val="21"/>
        </w:rPr>
        <w:t>崇尚宪法、遵法守纪、崇德向善、诚实守信、尊重生命、热爱劳动，履行道德准则和行为规范，具有社会责任感和社会参与意识</w:t>
      </w:r>
      <w:r>
        <w:rPr>
          <w:rFonts w:hint="eastAsia" w:eastAsiaTheme="minorEastAsia"/>
          <w:color w:val="000000"/>
          <w:kern w:val="0"/>
          <w:szCs w:val="21"/>
        </w:rPr>
        <w:t>；</w:t>
      </w:r>
    </w:p>
    <w:p w14:paraId="01E94ACE">
      <w:pPr>
        <w:keepNext w:val="0"/>
        <w:keepLines w:val="0"/>
        <w:pageBreakBefore w:val="0"/>
        <w:numPr>
          <w:ilvl w:val="0"/>
          <w:numId w:val="2"/>
        </w:numPr>
        <w:kinsoku/>
        <w:wordWrap/>
        <w:overflowPunct/>
        <w:topLinePunct w:val="0"/>
        <w:autoSpaceDE/>
        <w:autoSpaceDN/>
        <w:bidi w:val="0"/>
        <w:adjustRightInd/>
        <w:snapToGrid/>
        <w:spacing w:line="400" w:lineRule="exact"/>
        <w:ind w:left="0" w:firstLine="420" w:firstLineChars="200"/>
        <w:jc w:val="left"/>
        <w:textAlignment w:val="auto"/>
        <w:rPr>
          <w:rFonts w:eastAsiaTheme="minorEastAsia"/>
          <w:color w:val="000000"/>
          <w:kern w:val="0"/>
          <w:szCs w:val="21"/>
        </w:rPr>
      </w:pPr>
      <w:r>
        <w:rPr>
          <w:color w:val="000000"/>
          <w:kern w:val="0"/>
          <w:szCs w:val="21"/>
        </w:rPr>
        <w:t>具有质量意识、环保意识、安全意识、信息素养、工匠精神、创新思维</w:t>
      </w:r>
      <w:r>
        <w:rPr>
          <w:rFonts w:eastAsiaTheme="minorEastAsia"/>
          <w:color w:val="000000"/>
          <w:kern w:val="0"/>
          <w:szCs w:val="21"/>
        </w:rPr>
        <w:t>；</w:t>
      </w:r>
    </w:p>
    <w:p w14:paraId="33C9587B">
      <w:pPr>
        <w:keepNext w:val="0"/>
        <w:keepLines w:val="0"/>
        <w:pageBreakBefore w:val="0"/>
        <w:numPr>
          <w:ilvl w:val="0"/>
          <w:numId w:val="2"/>
        </w:numPr>
        <w:kinsoku/>
        <w:wordWrap/>
        <w:overflowPunct/>
        <w:topLinePunct w:val="0"/>
        <w:autoSpaceDE/>
        <w:autoSpaceDN/>
        <w:bidi w:val="0"/>
        <w:adjustRightInd/>
        <w:snapToGrid/>
        <w:spacing w:line="400" w:lineRule="exact"/>
        <w:ind w:left="0" w:firstLine="420" w:firstLineChars="200"/>
        <w:jc w:val="left"/>
        <w:textAlignment w:val="auto"/>
        <w:rPr>
          <w:rFonts w:ascii="宋体" w:hAnsi="宋体"/>
          <w:szCs w:val="21"/>
        </w:rPr>
      </w:pPr>
      <w:r>
        <w:rPr>
          <w:color w:val="000000"/>
          <w:kern w:val="0"/>
          <w:szCs w:val="21"/>
        </w:rPr>
        <w:t>勇于奋斗、乐观向上，具有自我管理能力、职业生涯规划的意识，有较强的集体意识和团队合作精神</w:t>
      </w:r>
      <w:r>
        <w:rPr>
          <w:rFonts w:hint="eastAsia" w:asciiTheme="minorEastAsia" w:hAnsiTheme="minorEastAsia" w:eastAsiaTheme="minorEastAsia" w:cstheme="minorEastAsia"/>
          <w:color w:val="000000"/>
          <w:kern w:val="0"/>
          <w:szCs w:val="21"/>
        </w:rPr>
        <w:t>。</w:t>
      </w:r>
    </w:p>
    <w:p w14:paraId="11466509">
      <w:pPr>
        <w:keepNext w:val="0"/>
        <w:keepLines w:val="0"/>
        <w:pageBreakBefore w:val="0"/>
        <w:numPr>
          <w:ilvl w:val="0"/>
          <w:numId w:val="2"/>
        </w:numPr>
        <w:kinsoku/>
        <w:wordWrap/>
        <w:overflowPunct/>
        <w:topLinePunct w:val="0"/>
        <w:autoSpaceDE/>
        <w:autoSpaceDN/>
        <w:bidi w:val="0"/>
        <w:adjustRightInd/>
        <w:snapToGrid/>
        <w:spacing w:line="400" w:lineRule="exact"/>
        <w:ind w:left="0" w:firstLine="420" w:firstLineChars="200"/>
        <w:jc w:val="left"/>
        <w:textAlignment w:val="auto"/>
        <w:rPr>
          <w:szCs w:val="21"/>
        </w:rPr>
      </w:pPr>
      <w:r>
        <w:rPr>
          <w:rFonts w:hint="eastAsia" w:ascii="宋体" w:hAnsi="宋体" w:cs="宋体"/>
          <w:color w:val="000000"/>
          <w:kern w:val="0"/>
          <w:szCs w:val="21"/>
        </w:rPr>
        <w:t>具有健康的体魄，健全的人格，养成良好的健身与卫生习惯，良好的行为习惯</w:t>
      </w:r>
      <w:r>
        <w:rPr>
          <w:rFonts w:hint="eastAsia" w:ascii="宋体" w:hAnsi="宋体"/>
          <w:szCs w:val="21"/>
        </w:rPr>
        <w:t>。</w:t>
      </w:r>
    </w:p>
    <w:p w14:paraId="46E334AC">
      <w:pPr>
        <w:pStyle w:val="6"/>
        <w:keepNext w:val="0"/>
        <w:keepLines w:val="0"/>
        <w:pageBreakBefore w:val="0"/>
        <w:numPr>
          <w:ilvl w:val="0"/>
          <w:numId w:val="3"/>
        </w:numPr>
        <w:kinsoku/>
        <w:wordWrap/>
        <w:overflowPunct/>
        <w:topLinePunct w:val="0"/>
        <w:autoSpaceDE/>
        <w:autoSpaceDN/>
        <w:bidi w:val="0"/>
        <w:adjustRightInd/>
        <w:snapToGrid/>
        <w:spacing w:line="400" w:lineRule="exact"/>
        <w:ind w:left="0" w:firstLine="420" w:firstLineChars="200"/>
        <w:jc w:val="left"/>
        <w:textAlignment w:val="auto"/>
        <w:rPr>
          <w:sz w:val="21"/>
          <w:szCs w:val="21"/>
          <w:lang w:val="en-US"/>
        </w:rPr>
      </w:pPr>
      <w:r>
        <w:rPr>
          <w:rFonts w:hint="eastAsia"/>
          <w:sz w:val="21"/>
          <w:szCs w:val="21"/>
          <w:lang w:val="en-US"/>
        </w:rPr>
        <w:t>能够熟练掌握与本专业从事职业活动相关的国家法律、行业规定，掌握信息安全、环境保护、安全防护、质量管理等相关知识与技能；</w:t>
      </w:r>
    </w:p>
    <w:p w14:paraId="16ECA48E">
      <w:pPr>
        <w:pStyle w:val="6"/>
        <w:keepNext w:val="0"/>
        <w:keepLines w:val="0"/>
        <w:pageBreakBefore w:val="0"/>
        <w:numPr>
          <w:ilvl w:val="0"/>
          <w:numId w:val="3"/>
        </w:numPr>
        <w:kinsoku/>
        <w:wordWrap/>
        <w:overflowPunct/>
        <w:topLinePunct w:val="0"/>
        <w:autoSpaceDE/>
        <w:autoSpaceDN/>
        <w:bidi w:val="0"/>
        <w:adjustRightInd/>
        <w:snapToGrid/>
        <w:spacing w:line="400" w:lineRule="exact"/>
        <w:ind w:left="0" w:firstLine="420" w:firstLineChars="200"/>
        <w:jc w:val="left"/>
        <w:textAlignment w:val="auto"/>
        <w:rPr>
          <w:sz w:val="21"/>
          <w:szCs w:val="21"/>
          <w:lang w:val="en-US"/>
        </w:rPr>
      </w:pPr>
      <w:r>
        <w:rPr>
          <w:rFonts w:hint="eastAsia"/>
          <w:sz w:val="21"/>
          <w:szCs w:val="21"/>
          <w:lang w:val="en-US"/>
        </w:rPr>
        <w:t>了解中国会计文化，遵守职业道德准则和行为规范，具备社会责任感和担当精神。</w:t>
      </w:r>
    </w:p>
    <w:p w14:paraId="3409727A">
      <w:pPr>
        <w:pStyle w:val="6"/>
        <w:keepNext w:val="0"/>
        <w:keepLines w:val="0"/>
        <w:pageBreakBefore w:val="0"/>
        <w:numPr>
          <w:ilvl w:val="0"/>
          <w:numId w:val="3"/>
        </w:numPr>
        <w:kinsoku/>
        <w:wordWrap/>
        <w:overflowPunct/>
        <w:topLinePunct w:val="0"/>
        <w:autoSpaceDE/>
        <w:autoSpaceDN/>
        <w:bidi w:val="0"/>
        <w:adjustRightInd/>
        <w:snapToGrid/>
        <w:spacing w:line="400" w:lineRule="exact"/>
        <w:ind w:left="0" w:firstLine="420" w:firstLineChars="200"/>
        <w:jc w:val="left"/>
        <w:textAlignment w:val="auto"/>
        <w:rPr>
          <w:sz w:val="21"/>
          <w:szCs w:val="21"/>
          <w:lang w:val="en-US"/>
        </w:rPr>
      </w:pPr>
      <w:r>
        <w:rPr>
          <w:rFonts w:hint="eastAsia"/>
          <w:sz w:val="21"/>
          <w:szCs w:val="21"/>
          <w:lang w:val="en-US"/>
        </w:rPr>
        <w:t>具有良好的职业安全、创新精神、创业意识，能够立足生产、建设、管理、服务一线，踏实进取，敬业奉献，善于合作，敢于竞争，勇于创新。</w:t>
      </w:r>
    </w:p>
    <w:p w14:paraId="3DE3979F">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FF0000"/>
          <w:szCs w:val="21"/>
        </w:rPr>
      </w:pPr>
      <w:r>
        <w:rPr>
          <w:rFonts w:hint="default" w:ascii="Times New Roman" w:hAnsi="Times New Roman" w:cs="Times New Roman" w:eastAsiaTheme="minorEastAsia"/>
          <w:b/>
          <w:bCs/>
          <w:color w:val="000000"/>
          <w:kern w:val="0"/>
          <w:szCs w:val="21"/>
        </w:rPr>
        <w:t>2</w:t>
      </w:r>
      <w:r>
        <w:rPr>
          <w:rFonts w:eastAsiaTheme="minorEastAsia"/>
          <w:b/>
          <w:bCs/>
          <w:color w:val="000000"/>
          <w:kern w:val="0"/>
          <w:szCs w:val="21"/>
        </w:rPr>
        <w:t>知识要求</w:t>
      </w:r>
    </w:p>
    <w:p w14:paraId="0046A9ED">
      <w:pPr>
        <w:pStyle w:val="12"/>
        <w:keepNext w:val="0"/>
        <w:keepLines w:val="0"/>
        <w:pageBreakBefore w:val="0"/>
        <w:widowControl/>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黑体" w:hAnsi="宋体" w:cs="黑体"/>
          <w:color w:val="000000" w:themeColor="text1"/>
          <w:sz w:val="21"/>
          <w:szCs w:val="21"/>
        </w:rPr>
      </w:pPr>
      <w:r>
        <w:rPr>
          <w:rFonts w:hint="eastAsia" w:ascii="宋体" w:hAnsi="宋体" w:cs="宋体"/>
          <w:color w:val="000000" w:themeColor="text1"/>
          <w:sz w:val="21"/>
          <w:szCs w:val="21"/>
        </w:rPr>
        <w:t>掌握经济、财政、税务、金融、企业管理等基础知识；</w:t>
      </w:r>
    </w:p>
    <w:p w14:paraId="688D4FE1">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hint="eastAsia" w:ascii="宋体" w:hAnsi="宋体" w:cs="宋体"/>
          <w:color w:val="000000" w:themeColor="text1"/>
          <w:szCs w:val="21"/>
        </w:rPr>
        <w:t>掌握企业财务会计、管理会计、财务管理、成本核算与管理、财务大数据分析和企业内部控制的理论知识；</w:t>
      </w:r>
    </w:p>
    <w:p w14:paraId="0139EB33">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kern w:val="0"/>
          <w:szCs w:val="21"/>
        </w:rPr>
      </w:pPr>
      <w:r>
        <w:rPr>
          <w:rFonts w:hint="eastAsia" w:ascii="宋体" w:hAnsi="宋体" w:cs="宋体"/>
          <w:color w:val="000000" w:themeColor="text1"/>
          <w:szCs w:val="21"/>
        </w:rPr>
        <w:t>掌握成本计算方法，编制成本费用报表，科学进行成本费用分析与管理；</w:t>
      </w:r>
    </w:p>
    <w:p w14:paraId="1B2285F6">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hint="eastAsia" w:ascii="宋体" w:hAnsi="宋体" w:cs="宋体"/>
          <w:color w:val="000000" w:themeColor="text1"/>
          <w:szCs w:val="21"/>
        </w:rPr>
        <w:t>合理应用内部控制的基本原理和方法进行内部会计控制；</w:t>
      </w:r>
    </w:p>
    <w:p w14:paraId="1D0F86D7">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hint="eastAsia" w:ascii="宋体" w:hAnsi="宋体" w:cs="宋体"/>
          <w:color w:val="000000" w:themeColor="text1"/>
          <w:szCs w:val="21"/>
        </w:rPr>
        <w:t>掌握企业筹资、投资、营运及收益分配进行分析，编制企业收入、成本费用以及项目预算。</w:t>
      </w:r>
    </w:p>
    <w:p w14:paraId="0B946D67">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hint="eastAsia" w:ascii="宋体" w:hAnsi="宋体" w:cs="宋体"/>
          <w:color w:val="000000" w:themeColor="text1"/>
          <w:szCs w:val="21"/>
        </w:rPr>
        <w:t>掌握各种税费计算与申报，进行纳税筹划和纳税风险控制；</w:t>
      </w:r>
    </w:p>
    <w:p w14:paraId="4A401828">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eastAsiaTheme="minorEastAsia"/>
          <w:color w:val="FF0000"/>
          <w:kern w:val="0"/>
          <w:szCs w:val="21"/>
        </w:rPr>
      </w:pPr>
      <w:r>
        <w:rPr>
          <w:rFonts w:hint="eastAsia" w:ascii="宋体" w:hAnsi="宋体" w:cs="宋体"/>
          <w:color w:val="000000" w:themeColor="text1"/>
          <w:szCs w:val="21"/>
        </w:rPr>
        <w:t>掌握整理审计证据和有关审计信息，编制审计工作底稿及编制审计报告；</w:t>
      </w:r>
    </w:p>
    <w:p w14:paraId="2E033904">
      <w:pPr>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color w:val="000000" w:themeColor="text1"/>
        </w:rPr>
      </w:pPr>
      <w:r>
        <w:rPr>
          <w:rFonts w:hint="eastAsia" w:ascii="宋体" w:hAnsi="宋体" w:cs="宋体"/>
          <w:color w:val="000000" w:themeColor="text1"/>
          <w:szCs w:val="21"/>
        </w:rPr>
        <w:t>掌握日常办公软件的操作，处理、分类、分析、输出财务、业务信息，提供企业决策所需的信息。</w:t>
      </w:r>
    </w:p>
    <w:p w14:paraId="0E2397D5">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eastAsiaTheme="minorEastAsia"/>
          <w:b/>
          <w:bCs/>
          <w:color w:val="000000" w:themeColor="text1"/>
          <w:kern w:val="0"/>
          <w:szCs w:val="21"/>
        </w:rPr>
      </w:pPr>
      <w:r>
        <w:rPr>
          <w:rFonts w:hint="default" w:ascii="Times New Roman" w:hAnsi="Times New Roman" w:cs="Times New Roman" w:eastAsiaTheme="minorEastAsia"/>
          <w:b/>
          <w:bCs/>
          <w:color w:val="000000" w:themeColor="text1"/>
          <w:kern w:val="0"/>
          <w:szCs w:val="21"/>
        </w:rPr>
        <w:t>3</w:t>
      </w:r>
      <w:r>
        <w:rPr>
          <w:rFonts w:eastAsiaTheme="minorEastAsia"/>
          <w:b/>
          <w:bCs/>
          <w:color w:val="000000" w:themeColor="text1"/>
          <w:kern w:val="0"/>
          <w:szCs w:val="21"/>
        </w:rPr>
        <w:t xml:space="preserve"> 专业能力要求</w:t>
      </w:r>
    </w:p>
    <w:p w14:paraId="00D0E299">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企业会计核算、产品成本核算、成本控制和成本管理的能力；</w:t>
      </w:r>
    </w:p>
    <w:p w14:paraId="7CC212EF">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熟练应用智慧化税控系统进行各种税费计算与申报的能力，具备基本的纳税筹划和税务风险控制的能力；</w:t>
      </w:r>
    </w:p>
    <w:p w14:paraId="3A56776B">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 xml:space="preserve">运用智能会计平台、财务共享服务平台、业务财务一体化信息系统及财务机器人进行业务财务处理的能力； </w:t>
      </w:r>
    </w:p>
    <w:p w14:paraId="675F01B1">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运用管理会计的基本方法和工具进行资金管理、成本管理、营运管理、绩 效管理的基本能力；</w:t>
      </w:r>
    </w:p>
    <w:p w14:paraId="0B068712">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撰写财务与成本分析报告的能力，能应用大数据技术进行业务财务数据收 集、清洗、整理、挖掘和可视化输出；</w:t>
      </w:r>
    </w:p>
    <w:p w14:paraId="3337A10B">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运用内部控制方法和技术，识别企业风险、实施内部会计控制及财务审计 的能力；</w:t>
      </w:r>
    </w:p>
    <w:p w14:paraId="790A1E82">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ascii="宋体" w:hAnsi="宋体" w:cs="宋体"/>
          <w:color w:val="000000" w:themeColor="text1"/>
          <w:szCs w:val="21"/>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运用现代化办公系统、网络技术、</w:t>
      </w:r>
      <w:r>
        <w:rPr>
          <w:rFonts w:hint="default" w:ascii="Times New Roman" w:hAnsi="Times New Roman" w:cs="Times New Roman"/>
          <w:color w:val="000000" w:themeColor="text1"/>
          <w:szCs w:val="21"/>
        </w:rPr>
        <w:t>Excel</w:t>
      </w:r>
      <w:r>
        <w:rPr>
          <w:rFonts w:ascii="宋体" w:hAnsi="宋体" w:cs="宋体"/>
          <w:color w:val="000000" w:themeColor="text1"/>
          <w:szCs w:val="21"/>
        </w:rPr>
        <w:t xml:space="preserve"> 技术进行日常工作和财务、税务业务处理的能力； </w:t>
      </w:r>
    </w:p>
    <w:p w14:paraId="37A609BC">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firstLine="420" w:firstLineChars="200"/>
        <w:textAlignment w:val="auto"/>
        <w:rPr>
          <w:rFonts w:eastAsia="仿宋_GB2312"/>
          <w:i/>
          <w:iCs/>
          <w:color w:val="0000FF"/>
          <w:kern w:val="0"/>
          <w:sz w:val="18"/>
          <w:szCs w:val="18"/>
        </w:rPr>
      </w:pPr>
      <w:r>
        <w:rPr>
          <w:rFonts w:ascii="宋体" w:hAnsi="宋体" w:cs="宋体"/>
          <w:color w:val="000000" w:themeColor="text1"/>
          <w:szCs w:val="21"/>
        </w:rPr>
        <w:t>具</w:t>
      </w:r>
      <w:r>
        <w:rPr>
          <w:rFonts w:hint="eastAsia" w:ascii="宋体" w:hAnsi="宋体" w:cs="宋体"/>
          <w:color w:val="000000" w:themeColor="text1"/>
          <w:szCs w:val="21"/>
          <w:lang w:val="en-US" w:eastAsia="zh-CN"/>
        </w:rPr>
        <w:t>备</w:t>
      </w:r>
      <w:r>
        <w:rPr>
          <w:rFonts w:ascii="宋体" w:hAnsi="宋体" w:cs="宋体"/>
          <w:color w:val="000000" w:themeColor="text1"/>
          <w:szCs w:val="21"/>
        </w:rPr>
        <w:t>探究学习、终身学习和可持续发展的能力。</w:t>
      </w:r>
    </w:p>
    <w:p w14:paraId="26BC6499">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六、课程设置</w:t>
      </w:r>
    </w:p>
    <w:p w14:paraId="1969747A">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outlineLvl w:val="0"/>
        <w:rPr>
          <w:b/>
          <w:bCs/>
          <w:color w:val="000000"/>
          <w:kern w:val="0"/>
          <w:szCs w:val="21"/>
        </w:rPr>
      </w:pPr>
      <w:r>
        <w:rPr>
          <w:b/>
          <w:bCs/>
          <w:color w:val="000000"/>
          <w:kern w:val="0"/>
          <w:szCs w:val="21"/>
        </w:rPr>
        <w:t>（一）课程体系结构</w:t>
      </w:r>
    </w:p>
    <w:p w14:paraId="77D3182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eastAsia="宋体"/>
          <w:lang w:eastAsia="zh-CN"/>
        </w:rPr>
      </w:pPr>
      <w:r>
        <w:rPr>
          <w:color w:val="000000"/>
          <w:kern w:val="0"/>
          <w:szCs w:val="21"/>
        </w:rPr>
        <w:t xml:space="preserve">依据国家教育政策、教育教学规律和学生认知发展规律， 根据岗位群工作任务与职业能力分析结果， 结合 </w:t>
      </w:r>
      <w:r>
        <w:rPr>
          <w:rFonts w:hint="default" w:ascii="Times New Roman" w:hAnsi="Times New Roman" w:cs="Times New Roman"/>
          <w:color w:val="000000"/>
          <w:kern w:val="0"/>
          <w:szCs w:val="21"/>
        </w:rPr>
        <w:t>1</w:t>
      </w:r>
      <w:r>
        <w:rPr>
          <w:color w:val="000000"/>
          <w:kern w:val="0"/>
          <w:szCs w:val="21"/>
        </w:rPr>
        <w:t>+</w:t>
      </w:r>
      <w:r>
        <w:rPr>
          <w:rFonts w:hint="default" w:ascii="Times New Roman" w:hAnsi="Times New Roman" w:cs="Times New Roman"/>
          <w:color w:val="000000"/>
          <w:kern w:val="0"/>
          <w:szCs w:val="21"/>
        </w:rPr>
        <w:t>X</w:t>
      </w:r>
      <w:r>
        <w:rPr>
          <w:color w:val="000000"/>
          <w:kern w:val="0"/>
          <w:szCs w:val="21"/>
        </w:rPr>
        <w:t xml:space="preserve"> 证书制度、模块化课程等教育教学改革方向，构建课程体系。</w:t>
      </w:r>
    </w:p>
    <w:p w14:paraId="649481B7">
      <w:pPr>
        <w:pStyle w:val="6"/>
        <w:jc w:val="center"/>
        <w:rPr>
          <w:rFonts w:hint="eastAsia" w:eastAsia="宋体"/>
          <w:color w:val="000000"/>
          <w:kern w:val="0"/>
          <w:szCs w:val="21"/>
          <w:lang w:eastAsia="zh-CN"/>
        </w:rPr>
      </w:pPr>
      <w:r>
        <w:rPr>
          <w:rFonts w:hint="eastAsia" w:eastAsia="宋体"/>
          <w:color w:val="000000"/>
          <w:kern w:val="0"/>
          <w:szCs w:val="21"/>
          <w:lang w:eastAsia="zh-CN"/>
        </w:rPr>
        <w:drawing>
          <wp:inline distT="0" distB="0" distL="114300" distR="114300">
            <wp:extent cx="5743575" cy="3310890"/>
            <wp:effectExtent l="0" t="0" r="9525" b="3810"/>
            <wp:docPr id="2" name="图片 2" descr="公司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组织结构图"/>
                    <pic:cNvPicPr>
                      <a:picLocks noChangeAspect="1"/>
                    </pic:cNvPicPr>
                  </pic:nvPicPr>
                  <pic:blipFill>
                    <a:blip r:embed="rId4"/>
                    <a:stretch>
                      <a:fillRect/>
                    </a:stretch>
                  </pic:blipFill>
                  <pic:spPr>
                    <a:xfrm>
                      <a:off x="0" y="0"/>
                      <a:ext cx="5743575" cy="3310890"/>
                    </a:xfrm>
                    <a:prstGeom prst="rect">
                      <a:avLst/>
                    </a:prstGeom>
                  </pic:spPr>
                </pic:pic>
              </a:graphicData>
            </a:graphic>
          </wp:inline>
        </w:drawing>
      </w:r>
    </w:p>
    <w:p w14:paraId="0E4DBA30">
      <w:pPr>
        <w:pStyle w:val="5"/>
        <w:keepNext/>
        <w:spacing w:line="400" w:lineRule="exact"/>
        <w:jc w:val="center"/>
        <w:rPr>
          <w:rFonts w:ascii="Times New Roman" w:hAnsi="Times New Roman" w:eastAsia="仿宋_GB2312" w:cs="Times New Roman"/>
          <w:i/>
          <w:iCs/>
          <w:color w:val="0000FF"/>
          <w:kern w:val="0"/>
        </w:rPr>
      </w:pPr>
      <w:r>
        <w:rPr>
          <w:rFonts w:hint="eastAsia" w:ascii="Times New Roman" w:hAnsi="Times New Roman" w:eastAsia="宋体"/>
          <w:b/>
          <w:bCs/>
          <w:sz w:val="18"/>
          <w:szCs w:val="18"/>
          <w:lang w:eastAsia="zh-CN"/>
        </w:rPr>
        <w:t>图</w:t>
      </w:r>
      <w:r>
        <w:rPr>
          <w:rFonts w:hint="default" w:ascii="Times New Roman" w:hAnsi="Times New Roman" w:eastAsia="宋体" w:cs="Times New Roman"/>
          <w:b/>
          <w:bCs/>
          <w:sz w:val="18"/>
          <w:szCs w:val="18"/>
          <w:lang w:val="en-US" w:eastAsia="zh-CN"/>
        </w:rPr>
        <w:t>1</w:t>
      </w:r>
      <w:r>
        <w:rPr>
          <w:rFonts w:hint="eastAsia" w:ascii="Times New Roman" w:hAnsi="Times New Roman" w:eastAsia="宋体"/>
          <w:b/>
          <w:bCs/>
          <w:sz w:val="18"/>
          <w:szCs w:val="18"/>
          <w:lang w:val="en-US" w:eastAsia="zh-CN"/>
        </w:rPr>
        <w:t xml:space="preserve">  大数据与会计专业课程体系</w:t>
      </w:r>
    </w:p>
    <w:p w14:paraId="047420A0">
      <w:pPr>
        <w:spacing w:line="400" w:lineRule="exact"/>
        <w:ind w:firstLine="422" w:firstLineChars="200"/>
        <w:jc w:val="left"/>
        <w:outlineLvl w:val="0"/>
        <w:rPr>
          <w:rFonts w:eastAsia="仿宋_GB2312"/>
          <w:i/>
          <w:iCs/>
          <w:color w:val="0000FF"/>
          <w:kern w:val="0"/>
          <w:sz w:val="18"/>
          <w:szCs w:val="18"/>
        </w:rPr>
      </w:pPr>
      <w:r>
        <w:rPr>
          <w:b/>
          <w:bCs/>
          <w:color w:val="000000"/>
          <w:kern w:val="0"/>
          <w:szCs w:val="21"/>
        </w:rPr>
        <w:t>（二）公共基础课教学内容与要求</w:t>
      </w:r>
    </w:p>
    <w:p w14:paraId="1547146C">
      <w:pPr>
        <w:pStyle w:val="5"/>
        <w:keepNext/>
        <w:spacing w:line="240" w:lineRule="auto"/>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hint="default" w:ascii="Times New Roman" w:hAnsi="Times New Roman" w:eastAsia="宋体" w:cs="Times New Roman"/>
          <w:b/>
          <w:bCs/>
          <w:sz w:val="18"/>
          <w:szCs w:val="18"/>
        </w:rPr>
        <w:fldChar w:fldCharType="begin"/>
      </w:r>
      <w:r>
        <w:rPr>
          <w:rFonts w:hint="default" w:ascii="Times New Roman" w:hAnsi="Times New Roman" w:eastAsia="宋体" w:cs="Times New Roman"/>
          <w:b/>
          <w:bCs/>
          <w:sz w:val="18"/>
          <w:szCs w:val="18"/>
        </w:rPr>
        <w:instrText xml:space="preserve"> SEQ 表 \* ARABIC </w:instrText>
      </w:r>
      <w:r>
        <w:rPr>
          <w:rFonts w:hint="default" w:ascii="Times New Roman" w:hAnsi="Times New Roman" w:eastAsia="宋体" w:cs="Times New Roman"/>
          <w:b/>
          <w:bCs/>
          <w:sz w:val="18"/>
          <w:szCs w:val="18"/>
        </w:rPr>
        <w:fldChar w:fldCharType="separate"/>
      </w:r>
      <w:r>
        <w:rPr>
          <w:rFonts w:hint="default" w:ascii="Times New Roman" w:hAnsi="Times New Roman" w:eastAsia="宋体" w:cs="Times New Roman"/>
          <w:b/>
          <w:bCs/>
          <w:sz w:val="18"/>
          <w:szCs w:val="18"/>
        </w:rPr>
        <w:t>4</w:t>
      </w:r>
      <w:r>
        <w:rPr>
          <w:rFonts w:hint="default" w:ascii="Times New Roman" w:hAnsi="Times New Roman" w:eastAsia="宋体" w:cs="Times New Roman"/>
          <w:b/>
          <w:bCs/>
          <w:sz w:val="18"/>
          <w:szCs w:val="18"/>
        </w:rPr>
        <w:fldChar w:fldCharType="end"/>
      </w:r>
      <w:r>
        <w:rPr>
          <w:rFonts w:ascii="Times New Roman" w:hAnsi="Times New Roman" w:eastAsia="宋体"/>
          <w:b/>
          <w:bCs/>
          <w:sz w:val="18"/>
          <w:szCs w:val="18"/>
        </w:rPr>
        <w:t>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13"/>
        <w:tblW w:w="9125"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2"/>
        <w:gridCol w:w="993"/>
        <w:gridCol w:w="6662"/>
        <w:gridCol w:w="798"/>
      </w:tblGrid>
      <w:tr w14:paraId="23406B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678380BF">
            <w:pPr>
              <w:jc w:val="center"/>
              <w:rPr>
                <w:color w:val="000000"/>
                <w:sz w:val="18"/>
                <w:szCs w:val="18"/>
              </w:rPr>
            </w:pPr>
            <w:r>
              <w:rPr>
                <w:color w:val="000000"/>
                <w:sz w:val="18"/>
                <w:szCs w:val="18"/>
              </w:rPr>
              <w:t>序号</w:t>
            </w:r>
          </w:p>
        </w:tc>
        <w:tc>
          <w:tcPr>
            <w:tcW w:w="993" w:type="dxa"/>
            <w:shd w:val="clear" w:color="auto" w:fill="auto"/>
            <w:vAlign w:val="center"/>
          </w:tcPr>
          <w:p w14:paraId="2D9F97A4">
            <w:pPr>
              <w:jc w:val="center"/>
              <w:rPr>
                <w:color w:val="000000"/>
                <w:sz w:val="18"/>
                <w:szCs w:val="18"/>
              </w:rPr>
            </w:pPr>
            <w:r>
              <w:rPr>
                <w:color w:val="000000"/>
                <w:sz w:val="18"/>
                <w:szCs w:val="18"/>
              </w:rPr>
              <w:t>课程名称</w:t>
            </w:r>
          </w:p>
        </w:tc>
        <w:tc>
          <w:tcPr>
            <w:tcW w:w="6662" w:type="dxa"/>
            <w:shd w:val="clear" w:color="auto" w:fill="auto"/>
            <w:vAlign w:val="center"/>
          </w:tcPr>
          <w:p w14:paraId="4547DF39">
            <w:pPr>
              <w:jc w:val="center"/>
              <w:rPr>
                <w:color w:val="000000"/>
                <w:sz w:val="18"/>
                <w:szCs w:val="18"/>
              </w:rPr>
            </w:pPr>
            <w:r>
              <w:rPr>
                <w:color w:val="000000"/>
                <w:sz w:val="18"/>
                <w:szCs w:val="18"/>
              </w:rPr>
              <w:t>主要内容要求</w:t>
            </w:r>
          </w:p>
        </w:tc>
        <w:tc>
          <w:tcPr>
            <w:tcW w:w="798" w:type="dxa"/>
            <w:shd w:val="clear" w:color="auto" w:fill="auto"/>
            <w:vAlign w:val="center"/>
          </w:tcPr>
          <w:p w14:paraId="51A52C58">
            <w:pPr>
              <w:jc w:val="center"/>
              <w:rPr>
                <w:color w:val="000000"/>
                <w:sz w:val="18"/>
                <w:szCs w:val="18"/>
              </w:rPr>
            </w:pPr>
            <w:r>
              <w:rPr>
                <w:color w:val="000000"/>
                <w:sz w:val="18"/>
                <w:szCs w:val="18"/>
              </w:rPr>
              <w:t>学分/学时</w:t>
            </w:r>
          </w:p>
        </w:tc>
      </w:tr>
      <w:tr w14:paraId="1DA3D55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0FD6A712">
            <w:pPr>
              <w:jc w:val="center"/>
              <w:rPr>
                <w:sz w:val="18"/>
                <w:szCs w:val="18"/>
              </w:rPr>
            </w:pPr>
            <w:r>
              <w:rPr>
                <w:rFonts w:hint="default" w:ascii="Times New Roman" w:hAnsi="Times New Roman" w:cs="Times New Roman"/>
                <w:sz w:val="18"/>
                <w:szCs w:val="18"/>
              </w:rPr>
              <w:t>1</w:t>
            </w:r>
          </w:p>
        </w:tc>
        <w:tc>
          <w:tcPr>
            <w:tcW w:w="993" w:type="dxa"/>
            <w:shd w:val="clear" w:color="auto" w:fill="auto"/>
            <w:vAlign w:val="center"/>
          </w:tcPr>
          <w:p w14:paraId="035B7152">
            <w:pPr>
              <w:spacing w:line="240" w:lineRule="exact"/>
              <w:jc w:val="center"/>
              <w:rPr>
                <w:sz w:val="18"/>
                <w:szCs w:val="18"/>
              </w:rPr>
            </w:pPr>
            <w:r>
              <w:rPr>
                <w:rFonts w:hint="eastAsia" w:ascii="宋体" w:hAnsi="宋体"/>
                <w:sz w:val="18"/>
                <w:szCs w:val="18"/>
              </w:rPr>
              <w:t>军事技能</w:t>
            </w:r>
          </w:p>
        </w:tc>
        <w:tc>
          <w:tcPr>
            <w:tcW w:w="6662" w:type="dxa"/>
            <w:shd w:val="clear" w:color="auto" w:fill="auto"/>
            <w:vAlign w:val="center"/>
          </w:tcPr>
          <w:p w14:paraId="04505740">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内务条令、纪律条令、队列条令教育；单个军人队列动作、分队的队列动作、战术基础动作；射击与战术训练、防卫技能与战时防护训练；军体拳、战备基础与应用训练。</w:t>
            </w:r>
          </w:p>
          <w:p w14:paraId="2DA6C4C6">
            <w:pPr>
              <w:ind w:firstLine="354" w:firstLineChars="196"/>
              <w:jc w:val="left"/>
              <w:rPr>
                <w:sz w:val="18"/>
                <w:szCs w:val="18"/>
              </w:rPr>
            </w:pPr>
            <w:r>
              <w:rPr>
                <w:rFonts w:hint="eastAsia" w:ascii="宋体" w:hAnsi="宋体"/>
                <w:b/>
                <w:bCs/>
                <w:sz w:val="18"/>
                <w:szCs w:val="18"/>
              </w:rPr>
              <w:t>教学要求：</w:t>
            </w:r>
            <w:r>
              <w:rPr>
                <w:rFonts w:hint="eastAsia" w:ascii="宋体" w:hAnsi="宋体"/>
                <w:sz w:val="18"/>
                <w:szCs w:val="18"/>
              </w:rPr>
              <w:t>掌握基本的军事技能和军事素质，有良好的体魄、严明的组织纪律性、强烈的爱国热情、善于合作的团队精神，为中国人民解放军训练后备兵员和培养预备役军官奠定基础。</w:t>
            </w:r>
          </w:p>
        </w:tc>
        <w:tc>
          <w:tcPr>
            <w:tcW w:w="798" w:type="dxa"/>
            <w:shd w:val="clear" w:color="auto" w:fill="auto"/>
            <w:vAlign w:val="center"/>
          </w:tcPr>
          <w:p w14:paraId="6056FB3C">
            <w:pPr>
              <w:spacing w:line="240" w:lineRule="exact"/>
              <w:jc w:val="center"/>
              <w:rPr>
                <w:color w:val="FF0000"/>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112</w:t>
            </w:r>
          </w:p>
        </w:tc>
      </w:tr>
      <w:tr w14:paraId="7C0AC50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72" w:type="dxa"/>
            <w:shd w:val="clear" w:color="auto" w:fill="auto"/>
            <w:vAlign w:val="center"/>
          </w:tcPr>
          <w:p w14:paraId="4DCBCEE2">
            <w:pPr>
              <w:jc w:val="center"/>
              <w:rPr>
                <w:sz w:val="18"/>
                <w:szCs w:val="18"/>
              </w:rPr>
            </w:pPr>
            <w:r>
              <w:rPr>
                <w:rFonts w:hint="default" w:ascii="Times New Roman" w:hAnsi="Times New Roman" w:cs="Times New Roman"/>
                <w:sz w:val="18"/>
                <w:szCs w:val="18"/>
              </w:rPr>
              <w:t>2</w:t>
            </w:r>
          </w:p>
        </w:tc>
        <w:tc>
          <w:tcPr>
            <w:tcW w:w="993" w:type="dxa"/>
            <w:shd w:val="clear" w:color="auto" w:fill="auto"/>
            <w:vAlign w:val="center"/>
          </w:tcPr>
          <w:p w14:paraId="3390BAEB">
            <w:pPr>
              <w:spacing w:line="240" w:lineRule="exact"/>
              <w:jc w:val="center"/>
              <w:rPr>
                <w:sz w:val="18"/>
                <w:szCs w:val="18"/>
              </w:rPr>
            </w:pPr>
            <w:r>
              <w:rPr>
                <w:rFonts w:hint="eastAsia" w:ascii="宋体" w:hAnsi="宋体"/>
                <w:sz w:val="18"/>
                <w:szCs w:val="18"/>
              </w:rPr>
              <w:t>军事理论</w:t>
            </w:r>
          </w:p>
        </w:tc>
        <w:tc>
          <w:tcPr>
            <w:tcW w:w="6662" w:type="dxa"/>
            <w:shd w:val="clear" w:color="auto" w:fill="auto"/>
            <w:vAlign w:val="center"/>
          </w:tcPr>
          <w:p w14:paraId="138E5F1F">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14:paraId="4696489D">
            <w:pPr>
              <w:ind w:firstLine="354" w:firstLineChars="196"/>
              <w:jc w:val="left"/>
              <w:rPr>
                <w:sz w:val="18"/>
                <w:szCs w:val="18"/>
              </w:rPr>
            </w:pPr>
            <w:r>
              <w:rPr>
                <w:rFonts w:hint="eastAsia" w:ascii="宋体" w:hAnsi="宋体"/>
                <w:b/>
                <w:bCs/>
                <w:sz w:val="18"/>
                <w:szCs w:val="18"/>
              </w:rPr>
              <w:t>教学要求</w:t>
            </w:r>
            <w:r>
              <w:rPr>
                <w:rFonts w:hint="eastAsia" w:ascii="宋体" w:hAnsi="宋体"/>
                <w:sz w:val="18"/>
                <w:szCs w:val="18"/>
              </w:rPr>
              <w:t>：掌握军事基础知识，增强国防观念、国家安全意识和忧患危机意识，弘扬爱国主义精神、传承红色基因，增强爱国主义，民族主义、集体主义观念，加强纪律性，提高学生综合国防素质。</w:t>
            </w:r>
          </w:p>
        </w:tc>
        <w:tc>
          <w:tcPr>
            <w:tcW w:w="798" w:type="dxa"/>
            <w:shd w:val="clear" w:color="auto" w:fill="auto"/>
            <w:vAlign w:val="center"/>
          </w:tcPr>
          <w:p w14:paraId="10152961">
            <w:pPr>
              <w:spacing w:line="240" w:lineRule="exact"/>
              <w:jc w:val="center"/>
              <w:rPr>
                <w:color w:val="000000"/>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36</w:t>
            </w:r>
          </w:p>
        </w:tc>
      </w:tr>
      <w:tr w14:paraId="50E86DD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36FFD111">
            <w:pPr>
              <w:jc w:val="center"/>
              <w:rPr>
                <w:sz w:val="18"/>
                <w:szCs w:val="18"/>
              </w:rPr>
            </w:pPr>
            <w:r>
              <w:rPr>
                <w:rFonts w:hint="default" w:ascii="Times New Roman" w:hAnsi="Times New Roman" w:cs="Times New Roman"/>
                <w:sz w:val="18"/>
                <w:szCs w:val="18"/>
              </w:rPr>
              <w:t>3</w:t>
            </w:r>
          </w:p>
        </w:tc>
        <w:tc>
          <w:tcPr>
            <w:tcW w:w="993" w:type="dxa"/>
            <w:shd w:val="clear" w:color="auto" w:fill="auto"/>
            <w:vAlign w:val="center"/>
          </w:tcPr>
          <w:p w14:paraId="31392F78">
            <w:pPr>
              <w:spacing w:line="240" w:lineRule="exact"/>
              <w:jc w:val="center"/>
              <w:rPr>
                <w:sz w:val="18"/>
                <w:szCs w:val="18"/>
              </w:rPr>
            </w:pPr>
            <w:r>
              <w:rPr>
                <w:rFonts w:hint="eastAsia" w:ascii="宋体" w:hAnsi="宋体"/>
                <w:sz w:val="18"/>
                <w:szCs w:val="18"/>
              </w:rPr>
              <w:t>思想道德与法治</w:t>
            </w:r>
          </w:p>
        </w:tc>
        <w:tc>
          <w:tcPr>
            <w:tcW w:w="6662" w:type="dxa"/>
            <w:shd w:val="clear" w:color="auto" w:fill="auto"/>
            <w:vAlign w:val="center"/>
          </w:tcPr>
          <w:p w14:paraId="5E54D652">
            <w:pPr>
              <w:widowControl/>
              <w:ind w:firstLine="361" w:firstLineChars="200"/>
              <w:jc w:val="left"/>
              <w:rPr>
                <w:rFonts w:ascii="宋体" w:hAnsi="宋体" w:cs="宋体"/>
                <w:sz w:val="18"/>
                <w:szCs w:val="18"/>
              </w:rPr>
            </w:pPr>
            <w:r>
              <w:rPr>
                <w:rFonts w:hint="eastAsia" w:ascii="宋体" w:hAnsi="宋体"/>
                <w:b/>
                <w:bCs/>
                <w:sz w:val="18"/>
                <w:szCs w:val="18"/>
              </w:rPr>
              <w:t>主要内容：</w:t>
            </w:r>
            <w:r>
              <w:rPr>
                <w:rFonts w:hint="eastAsia" w:ascii="宋体" w:hAnsi="宋体" w:cs="宋体"/>
                <w:sz w:val="18"/>
                <w:szCs w:val="18"/>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14:paraId="69644715">
            <w:pPr>
              <w:widowControl/>
              <w:ind w:firstLine="361" w:firstLineChars="200"/>
              <w:jc w:val="left"/>
              <w:rPr>
                <w:sz w:val="18"/>
                <w:szCs w:val="18"/>
              </w:rPr>
            </w:pPr>
            <w:r>
              <w:rPr>
                <w:rFonts w:hint="eastAsia" w:ascii="宋体" w:hAnsi="宋体"/>
                <w:b/>
                <w:bCs/>
                <w:sz w:val="18"/>
                <w:szCs w:val="18"/>
              </w:rPr>
              <w:t>教学要求</w:t>
            </w:r>
            <w:r>
              <w:rPr>
                <w:rFonts w:hint="eastAsia" w:ascii="宋体" w:hAnsi="宋体"/>
                <w:sz w:val="18"/>
                <w:szCs w:val="18"/>
              </w:rPr>
              <w:t>：</w:t>
            </w:r>
            <w:r>
              <w:rPr>
                <w:rFonts w:hint="eastAsia" w:ascii="宋体" w:hAnsi="宋体" w:cs="宋体"/>
                <w:sz w:val="18"/>
                <w:szCs w:val="18"/>
              </w:rPr>
              <w:t>针对大学生成长过程中面临的思想道德与法治问题，开展马克思主义的人生观、价值观、道德观、法治观教育，帮助大学生提升思想道德素质和法治素养，成长为自觉担当民族复兴大任的时代新人。</w:t>
            </w:r>
          </w:p>
        </w:tc>
        <w:tc>
          <w:tcPr>
            <w:tcW w:w="798" w:type="dxa"/>
            <w:shd w:val="clear" w:color="auto" w:fill="auto"/>
            <w:vAlign w:val="center"/>
          </w:tcPr>
          <w:p w14:paraId="689D72B5">
            <w:pPr>
              <w:spacing w:line="240" w:lineRule="exact"/>
              <w:jc w:val="center"/>
              <w:rPr>
                <w:color w:val="000000"/>
                <w:sz w:val="18"/>
                <w:szCs w:val="18"/>
              </w:rPr>
            </w:pPr>
            <w:r>
              <w:rPr>
                <w:rFonts w:hint="default" w:ascii="Times New Roman" w:hAnsi="Times New Roman" w:cs="Times New Roman"/>
                <w:sz w:val="18"/>
                <w:szCs w:val="18"/>
              </w:rPr>
              <w:t>3</w:t>
            </w:r>
            <w:r>
              <w:rPr>
                <w:rFonts w:hint="eastAsia" w:ascii="宋体" w:hAnsi="宋体"/>
                <w:sz w:val="18"/>
                <w:szCs w:val="18"/>
              </w:rPr>
              <w:t>/</w:t>
            </w:r>
            <w:r>
              <w:rPr>
                <w:rFonts w:hint="default" w:ascii="Times New Roman" w:hAnsi="Times New Roman" w:cs="Times New Roman"/>
                <w:sz w:val="18"/>
                <w:szCs w:val="18"/>
              </w:rPr>
              <w:t>48</w:t>
            </w:r>
          </w:p>
        </w:tc>
      </w:tr>
      <w:tr w14:paraId="637B444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46A9C15E">
            <w:pPr>
              <w:jc w:val="center"/>
              <w:rPr>
                <w:rFonts w:ascii="华文仿宋" w:hAnsi="华文仿宋" w:eastAsia="华文仿宋"/>
                <w:sz w:val="18"/>
                <w:szCs w:val="18"/>
              </w:rPr>
            </w:pPr>
            <w:r>
              <w:rPr>
                <w:rFonts w:hint="default" w:ascii="Times New Roman" w:hAnsi="Times New Roman" w:eastAsia="华文仿宋" w:cs="Times New Roman"/>
                <w:sz w:val="18"/>
                <w:szCs w:val="18"/>
              </w:rPr>
              <w:t>4</w:t>
            </w:r>
          </w:p>
        </w:tc>
        <w:tc>
          <w:tcPr>
            <w:tcW w:w="993" w:type="dxa"/>
            <w:shd w:val="clear" w:color="auto" w:fill="auto"/>
            <w:vAlign w:val="center"/>
          </w:tcPr>
          <w:p w14:paraId="700E251D">
            <w:pPr>
              <w:spacing w:line="240" w:lineRule="exact"/>
              <w:jc w:val="center"/>
              <w:rPr>
                <w:rFonts w:ascii="宋体" w:hAnsi="宋体"/>
                <w:sz w:val="18"/>
                <w:szCs w:val="18"/>
              </w:rPr>
            </w:pPr>
            <w:r>
              <w:rPr>
                <w:rFonts w:hint="eastAsia" w:ascii="宋体" w:hAnsi="宋体"/>
                <w:sz w:val="18"/>
                <w:szCs w:val="18"/>
              </w:rPr>
              <w:t>毛泽东思想和中国特色社会主义理论体系概论</w:t>
            </w:r>
          </w:p>
        </w:tc>
        <w:tc>
          <w:tcPr>
            <w:tcW w:w="6662" w:type="dxa"/>
            <w:shd w:val="clear" w:color="auto" w:fill="auto"/>
            <w:vAlign w:val="center"/>
          </w:tcPr>
          <w:p w14:paraId="291F0758">
            <w:pPr>
              <w:widowControl/>
              <w:ind w:firstLine="361" w:firstLineChars="200"/>
              <w:jc w:val="left"/>
              <w:rPr>
                <w:rFonts w:ascii="宋体" w:hAnsi="宋体" w:cs="宋体"/>
                <w:sz w:val="18"/>
                <w:szCs w:val="18"/>
              </w:rPr>
            </w:pPr>
            <w:r>
              <w:rPr>
                <w:rFonts w:hint="eastAsia" w:ascii="宋体" w:hAnsi="宋体" w:cs="宋体"/>
                <w:b/>
                <w:bCs/>
                <w:sz w:val="18"/>
                <w:szCs w:val="18"/>
              </w:rPr>
              <w:t>主要内容：</w:t>
            </w:r>
            <w:r>
              <w:rPr>
                <w:rFonts w:hint="eastAsia" w:ascii="宋体" w:hAnsi="宋体" w:cs="宋体"/>
                <w:sz w:val="18"/>
                <w:szCs w:val="18"/>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14:paraId="1729F6F1">
            <w:pPr>
              <w:widowControl/>
              <w:ind w:firstLine="361" w:firstLineChars="200"/>
              <w:jc w:val="left"/>
              <w:rPr>
                <w:sz w:val="18"/>
                <w:szCs w:val="18"/>
              </w:rPr>
            </w:pPr>
            <w:r>
              <w:rPr>
                <w:rFonts w:hint="eastAsia" w:ascii="宋体" w:hAnsi="宋体"/>
                <w:b/>
                <w:bCs/>
                <w:sz w:val="18"/>
                <w:szCs w:val="18"/>
              </w:rPr>
              <w:t>教学要求</w:t>
            </w:r>
            <w:r>
              <w:rPr>
                <w:rFonts w:hint="eastAsia" w:ascii="宋体" w:hAnsi="宋体"/>
                <w:sz w:val="18"/>
                <w:szCs w:val="18"/>
              </w:rPr>
              <w:t>：</w:t>
            </w:r>
            <w:r>
              <w:rPr>
                <w:rFonts w:hint="eastAsia" w:ascii="宋体" w:hAnsi="宋体" w:cs="宋体"/>
                <w:sz w:val="18"/>
                <w:szCs w:val="18"/>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798" w:type="dxa"/>
            <w:shd w:val="clear" w:color="auto" w:fill="auto"/>
            <w:vAlign w:val="center"/>
          </w:tcPr>
          <w:p w14:paraId="300031CE">
            <w:pPr>
              <w:spacing w:line="240" w:lineRule="exact"/>
              <w:jc w:val="center"/>
              <w:rPr>
                <w:rFonts w:ascii="宋体" w:hAnsi="宋体"/>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36</w:t>
            </w:r>
          </w:p>
        </w:tc>
      </w:tr>
      <w:tr w14:paraId="44BC71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24244825">
            <w:pPr>
              <w:jc w:val="center"/>
              <w:rPr>
                <w:rFonts w:ascii="宋体" w:hAnsi="宋体" w:cs="宋体"/>
                <w:sz w:val="18"/>
                <w:szCs w:val="18"/>
              </w:rPr>
            </w:pPr>
            <w:r>
              <w:rPr>
                <w:rFonts w:hint="default" w:ascii="Times New Roman" w:hAnsi="Times New Roman" w:cs="Times New Roman"/>
                <w:sz w:val="18"/>
                <w:szCs w:val="18"/>
              </w:rPr>
              <w:t>5</w:t>
            </w:r>
          </w:p>
        </w:tc>
        <w:tc>
          <w:tcPr>
            <w:tcW w:w="993" w:type="dxa"/>
            <w:shd w:val="clear" w:color="auto" w:fill="auto"/>
            <w:vAlign w:val="center"/>
          </w:tcPr>
          <w:p w14:paraId="148550E0">
            <w:pPr>
              <w:jc w:val="center"/>
              <w:rPr>
                <w:rFonts w:ascii="宋体" w:hAnsi="宋体" w:cs="宋体"/>
                <w:sz w:val="18"/>
                <w:szCs w:val="18"/>
              </w:rPr>
            </w:pPr>
            <w:r>
              <w:rPr>
                <w:rFonts w:hint="eastAsia" w:ascii="宋体" w:hAnsi="宋体" w:cs="宋体"/>
                <w:sz w:val="18"/>
                <w:szCs w:val="18"/>
              </w:rPr>
              <w:t>习近平新时代中国特色社会主义思想概论</w:t>
            </w:r>
          </w:p>
        </w:tc>
        <w:tc>
          <w:tcPr>
            <w:tcW w:w="6662" w:type="dxa"/>
            <w:shd w:val="clear" w:color="auto" w:fill="auto"/>
            <w:vAlign w:val="center"/>
          </w:tcPr>
          <w:p w14:paraId="48312411">
            <w:pPr>
              <w:widowControl/>
              <w:ind w:firstLine="361" w:firstLineChars="200"/>
              <w:jc w:val="left"/>
              <w:rPr>
                <w:rFonts w:ascii="宋体" w:hAnsi="宋体" w:cs="宋体"/>
                <w:sz w:val="18"/>
                <w:szCs w:val="18"/>
              </w:rPr>
            </w:pPr>
            <w:r>
              <w:rPr>
                <w:rFonts w:hint="eastAsia" w:ascii="宋体" w:hAnsi="宋体" w:cs="宋体"/>
                <w:b/>
                <w:bCs/>
                <w:sz w:val="18"/>
                <w:szCs w:val="18"/>
              </w:rPr>
              <w:t>主要内容：</w:t>
            </w:r>
            <w:r>
              <w:rPr>
                <w:rFonts w:hint="eastAsia" w:ascii="宋体" w:hAnsi="宋体" w:cs="宋体"/>
                <w:sz w:val="18"/>
                <w:szCs w:val="18"/>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w:t>
            </w:r>
            <w:r>
              <w:rPr>
                <w:rFonts w:hint="eastAsia" w:ascii="宋体" w:hAnsi="宋体" w:cs="宋体"/>
                <w:color w:val="000000" w:themeColor="text1"/>
                <w:sz w:val="18"/>
                <w:szCs w:val="18"/>
              </w:rPr>
              <w:t>史进程和基本经验。以马克思主义中国化最新成果为重点，全面把握中国特色社会主义进</w:t>
            </w:r>
            <w:r>
              <w:rPr>
                <w:rFonts w:hint="eastAsia" w:ascii="宋体" w:hAnsi="宋体" w:cs="宋体"/>
                <w:sz w:val="18"/>
                <w:szCs w:val="18"/>
              </w:rPr>
              <w:t>入新时代，系统阐释习近平新时代中国特色社会主义思想的主要内容和历史地位，充分反映实现全面建设社会主义现代化强国、中华民族伟大复兴中国梦的战略部署。</w:t>
            </w:r>
          </w:p>
          <w:p w14:paraId="742927E8">
            <w:pPr>
              <w:widowControl/>
              <w:ind w:firstLine="361" w:firstLineChars="200"/>
              <w:jc w:val="left"/>
              <w:rPr>
                <w:rFonts w:ascii="宋体" w:hAnsi="宋体" w:cs="宋体"/>
                <w:b/>
                <w:bCs/>
                <w:sz w:val="18"/>
                <w:szCs w:val="18"/>
              </w:rPr>
            </w:pPr>
            <w:r>
              <w:rPr>
                <w:rFonts w:hint="eastAsia" w:ascii="宋体" w:hAnsi="宋体" w:cs="宋体"/>
                <w:b/>
                <w:bCs/>
                <w:sz w:val="18"/>
                <w:szCs w:val="18"/>
              </w:rPr>
              <w:t>教学要求</w:t>
            </w:r>
            <w:r>
              <w:rPr>
                <w:rFonts w:hint="eastAsia" w:ascii="宋体" w:hAnsi="宋体" w:cs="宋体"/>
                <w:sz w:val="18"/>
                <w:szCs w:val="18"/>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798" w:type="dxa"/>
            <w:shd w:val="clear" w:color="auto" w:fill="auto"/>
            <w:vAlign w:val="center"/>
          </w:tcPr>
          <w:p w14:paraId="72B9C1E4">
            <w:pPr>
              <w:jc w:val="center"/>
              <w:rPr>
                <w:rFonts w:ascii="宋体" w:hAnsi="宋体" w:cs="宋体"/>
                <w:sz w:val="18"/>
                <w:szCs w:val="18"/>
              </w:rPr>
            </w:pPr>
            <w:r>
              <w:rPr>
                <w:rFonts w:hint="default" w:ascii="Times New Roman" w:hAnsi="Times New Roman" w:cs="Times New Roman"/>
                <w:sz w:val="18"/>
                <w:szCs w:val="18"/>
              </w:rPr>
              <w:t>3</w:t>
            </w:r>
            <w:r>
              <w:rPr>
                <w:rFonts w:hint="eastAsia" w:ascii="宋体" w:hAnsi="宋体" w:cs="宋体"/>
                <w:sz w:val="18"/>
                <w:szCs w:val="18"/>
              </w:rPr>
              <w:t>/</w:t>
            </w:r>
            <w:r>
              <w:rPr>
                <w:rFonts w:hint="default" w:ascii="Times New Roman" w:hAnsi="Times New Roman" w:cs="Times New Roman"/>
                <w:sz w:val="18"/>
                <w:szCs w:val="18"/>
              </w:rPr>
              <w:t>48</w:t>
            </w:r>
          </w:p>
        </w:tc>
      </w:tr>
      <w:tr w14:paraId="64A5E9F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jc w:val="center"/>
        </w:trPr>
        <w:tc>
          <w:tcPr>
            <w:tcW w:w="672" w:type="dxa"/>
            <w:shd w:val="clear" w:color="auto" w:fill="auto"/>
            <w:vAlign w:val="center"/>
          </w:tcPr>
          <w:p w14:paraId="5B5CD585">
            <w:pPr>
              <w:jc w:val="center"/>
              <w:rPr>
                <w:sz w:val="18"/>
                <w:szCs w:val="18"/>
              </w:rPr>
            </w:pPr>
            <w:r>
              <w:rPr>
                <w:rFonts w:hint="default" w:ascii="Times New Roman" w:hAnsi="Times New Roman" w:cs="Times New Roman"/>
                <w:sz w:val="18"/>
                <w:szCs w:val="18"/>
              </w:rPr>
              <w:t>6</w:t>
            </w:r>
          </w:p>
        </w:tc>
        <w:tc>
          <w:tcPr>
            <w:tcW w:w="993" w:type="dxa"/>
            <w:shd w:val="clear" w:color="auto" w:fill="auto"/>
            <w:vAlign w:val="center"/>
          </w:tcPr>
          <w:p w14:paraId="128BE6D0">
            <w:pPr>
              <w:spacing w:line="240" w:lineRule="exact"/>
              <w:jc w:val="center"/>
              <w:rPr>
                <w:rFonts w:ascii="宋体" w:hAnsi="宋体"/>
                <w:sz w:val="18"/>
                <w:szCs w:val="18"/>
              </w:rPr>
            </w:pPr>
            <w:r>
              <w:rPr>
                <w:rFonts w:hint="eastAsia" w:ascii="宋体" w:hAnsi="宋体"/>
                <w:sz w:val="18"/>
                <w:szCs w:val="18"/>
              </w:rPr>
              <w:t>形势与政策</w:t>
            </w:r>
          </w:p>
        </w:tc>
        <w:tc>
          <w:tcPr>
            <w:tcW w:w="6662" w:type="dxa"/>
            <w:shd w:val="clear" w:color="auto" w:fill="auto"/>
            <w:vAlign w:val="center"/>
          </w:tcPr>
          <w:p w14:paraId="23B3C0EC">
            <w:pPr>
              <w:widowControl/>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党的理论创新最新成果，新时代坚持和发展中国特色社会主义的生动实践，马克思主义形势观政策观、党的路线方针政策、基本国情、国内外形势及其热点难点问题。</w:t>
            </w:r>
          </w:p>
          <w:p w14:paraId="7C264339">
            <w:pPr>
              <w:widowControl/>
              <w:ind w:firstLine="361" w:firstLineChars="200"/>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798" w:type="dxa"/>
            <w:shd w:val="clear" w:color="auto" w:fill="auto"/>
            <w:vAlign w:val="center"/>
          </w:tcPr>
          <w:p w14:paraId="4694CE12">
            <w:pPr>
              <w:widowControl/>
              <w:spacing w:line="240" w:lineRule="exact"/>
              <w:jc w:val="center"/>
              <w:rPr>
                <w:rFonts w:ascii="宋体" w:hAnsi="宋体"/>
                <w:sz w:val="18"/>
                <w:szCs w:val="18"/>
              </w:rPr>
            </w:pPr>
            <w:r>
              <w:rPr>
                <w:rFonts w:hint="default" w:ascii="Times New Roman" w:hAnsi="Times New Roman" w:cs="Times New Roman"/>
                <w:sz w:val="18"/>
                <w:szCs w:val="18"/>
              </w:rPr>
              <w:t>1</w:t>
            </w:r>
            <w:r>
              <w:rPr>
                <w:rFonts w:hint="eastAsia" w:ascii="宋体" w:hAnsi="宋体"/>
                <w:sz w:val="18"/>
                <w:szCs w:val="18"/>
              </w:rPr>
              <w:t>/</w:t>
            </w:r>
            <w:r>
              <w:rPr>
                <w:rFonts w:hint="default" w:ascii="Times New Roman" w:hAnsi="Times New Roman" w:cs="Times New Roman"/>
                <w:sz w:val="18"/>
                <w:szCs w:val="18"/>
              </w:rPr>
              <w:t>40</w:t>
            </w:r>
          </w:p>
        </w:tc>
      </w:tr>
      <w:tr w14:paraId="17FA6A0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7FCD8180">
            <w:pPr>
              <w:jc w:val="center"/>
              <w:rPr>
                <w:sz w:val="18"/>
                <w:szCs w:val="18"/>
              </w:rPr>
            </w:pPr>
            <w:r>
              <w:rPr>
                <w:rFonts w:hint="default" w:ascii="Times New Roman" w:hAnsi="Times New Roman" w:cs="Times New Roman"/>
                <w:sz w:val="18"/>
                <w:szCs w:val="18"/>
              </w:rPr>
              <w:t>7</w:t>
            </w:r>
          </w:p>
        </w:tc>
        <w:tc>
          <w:tcPr>
            <w:tcW w:w="993" w:type="dxa"/>
            <w:shd w:val="clear" w:color="auto" w:fill="auto"/>
            <w:vAlign w:val="center"/>
          </w:tcPr>
          <w:p w14:paraId="3B2D05B1">
            <w:pPr>
              <w:spacing w:line="240" w:lineRule="exact"/>
              <w:jc w:val="center"/>
              <w:rPr>
                <w:rFonts w:ascii="宋体" w:hAnsi="宋体"/>
                <w:sz w:val="18"/>
                <w:szCs w:val="18"/>
              </w:rPr>
            </w:pPr>
            <w:r>
              <w:rPr>
                <w:rFonts w:hint="eastAsia" w:ascii="宋体" w:hAnsi="宋体"/>
                <w:sz w:val="18"/>
                <w:szCs w:val="18"/>
              </w:rPr>
              <w:t>大学生心理健康教育</w:t>
            </w:r>
          </w:p>
        </w:tc>
        <w:tc>
          <w:tcPr>
            <w:tcW w:w="6662" w:type="dxa"/>
            <w:shd w:val="clear" w:color="auto" w:fill="auto"/>
            <w:vAlign w:val="center"/>
          </w:tcPr>
          <w:p w14:paraId="32A4C857">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14:paraId="4AF63968">
            <w:pPr>
              <w:ind w:firstLine="361" w:firstLineChars="200"/>
              <w:jc w:val="left"/>
              <w:rPr>
                <w:rFonts w:ascii="华文仿宋" w:hAnsi="华文仿宋" w:eastAsia="华文仿宋"/>
                <w:sz w:val="18"/>
                <w:szCs w:val="18"/>
              </w:rPr>
            </w:pPr>
            <w:r>
              <w:rPr>
                <w:rFonts w:hint="eastAsia" w:ascii="宋体" w:hAnsi="宋体"/>
                <w:b/>
                <w:bCs/>
                <w:sz w:val="18"/>
                <w:szCs w:val="18"/>
              </w:rPr>
              <w:t>教学要求</w:t>
            </w:r>
            <w:r>
              <w:rPr>
                <w:rFonts w:hint="eastAsia" w:ascii="宋体" w:hAnsi="宋体"/>
                <w:sz w:val="18"/>
                <w:szCs w:val="18"/>
              </w:rPr>
              <w:t>：使学生明确心理健康的标准及意义，了解大学阶段人的心理发展特征及</w:t>
            </w:r>
            <w:r>
              <w:rPr>
                <w:rFonts w:ascii="宋体" w:hAnsi="宋体"/>
                <w:sz w:val="18"/>
                <w:szCs w:val="18"/>
              </w:rPr>
              <w:t>常见的心理问题表现</w:t>
            </w:r>
            <w:r>
              <w:rPr>
                <w:rFonts w:hint="eastAsia" w:ascii="宋体" w:hAnsi="宋体"/>
                <w:sz w:val="18"/>
                <w:szCs w:val="18"/>
              </w:rPr>
              <w:t>，掌握自我调适的基本知识；使学生掌握自我探索技能，心理调适技能及心理发展技能，正确认识自我、完善自我、发展自我、优化心理素质，提高心理水平，促进全面发展。</w:t>
            </w:r>
          </w:p>
        </w:tc>
        <w:tc>
          <w:tcPr>
            <w:tcW w:w="798" w:type="dxa"/>
            <w:shd w:val="clear" w:color="auto" w:fill="auto"/>
            <w:vAlign w:val="center"/>
          </w:tcPr>
          <w:p w14:paraId="426822D3">
            <w:pPr>
              <w:spacing w:line="240" w:lineRule="exact"/>
              <w:jc w:val="center"/>
              <w:rPr>
                <w:rFonts w:ascii="宋体" w:hAnsi="宋体"/>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32</w:t>
            </w:r>
          </w:p>
        </w:tc>
      </w:tr>
      <w:tr w14:paraId="588189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5E5F1D81">
            <w:pPr>
              <w:jc w:val="center"/>
              <w:rPr>
                <w:sz w:val="18"/>
                <w:szCs w:val="18"/>
              </w:rPr>
            </w:pPr>
            <w:r>
              <w:rPr>
                <w:rFonts w:hint="default" w:ascii="Times New Roman" w:hAnsi="Times New Roman" w:cs="Times New Roman"/>
                <w:sz w:val="18"/>
                <w:szCs w:val="18"/>
              </w:rPr>
              <w:t>8</w:t>
            </w:r>
          </w:p>
        </w:tc>
        <w:tc>
          <w:tcPr>
            <w:tcW w:w="993" w:type="dxa"/>
            <w:shd w:val="clear" w:color="auto" w:fill="auto"/>
            <w:vAlign w:val="center"/>
          </w:tcPr>
          <w:p w14:paraId="3D04BD16">
            <w:pPr>
              <w:spacing w:line="240" w:lineRule="exact"/>
              <w:jc w:val="center"/>
              <w:rPr>
                <w:rFonts w:ascii="宋体" w:hAnsi="宋体"/>
                <w:sz w:val="18"/>
                <w:szCs w:val="18"/>
              </w:rPr>
            </w:pPr>
            <w:r>
              <w:rPr>
                <w:rFonts w:hint="eastAsia" w:ascii="宋体" w:hAnsi="宋体"/>
                <w:sz w:val="18"/>
                <w:szCs w:val="18"/>
              </w:rPr>
              <w:t>体育</w:t>
            </w:r>
          </w:p>
        </w:tc>
        <w:tc>
          <w:tcPr>
            <w:tcW w:w="6662" w:type="dxa"/>
            <w:shd w:val="clear" w:color="auto" w:fill="auto"/>
            <w:vAlign w:val="center"/>
          </w:tcPr>
          <w:p w14:paraId="097F6326">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14:paraId="668F59F1">
            <w:pPr>
              <w:ind w:firstLine="361" w:firstLineChars="200"/>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798" w:type="dxa"/>
            <w:shd w:val="clear" w:color="auto" w:fill="auto"/>
            <w:vAlign w:val="center"/>
          </w:tcPr>
          <w:p w14:paraId="53EF56CD">
            <w:pPr>
              <w:spacing w:line="240" w:lineRule="exact"/>
              <w:jc w:val="center"/>
              <w:rPr>
                <w:rFonts w:ascii="宋体" w:hAnsi="宋体"/>
                <w:sz w:val="18"/>
                <w:szCs w:val="18"/>
              </w:rPr>
            </w:pPr>
            <w:r>
              <w:rPr>
                <w:rFonts w:hint="default" w:ascii="Times New Roman" w:hAnsi="Times New Roman" w:cs="Times New Roman"/>
                <w:sz w:val="18"/>
                <w:szCs w:val="18"/>
              </w:rPr>
              <w:t>6</w:t>
            </w:r>
            <w:r>
              <w:rPr>
                <w:rFonts w:hint="eastAsia" w:ascii="宋体" w:hAnsi="宋体"/>
                <w:sz w:val="18"/>
                <w:szCs w:val="18"/>
              </w:rPr>
              <w:t>/</w:t>
            </w:r>
            <w:r>
              <w:rPr>
                <w:rFonts w:hint="default" w:ascii="Times New Roman" w:hAnsi="Times New Roman" w:cs="Times New Roman"/>
                <w:sz w:val="18"/>
                <w:szCs w:val="18"/>
              </w:rPr>
              <w:t>108</w:t>
            </w:r>
          </w:p>
        </w:tc>
      </w:tr>
      <w:tr w14:paraId="46C3481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5BDFD1B9">
            <w:pPr>
              <w:jc w:val="center"/>
              <w:rPr>
                <w:sz w:val="18"/>
                <w:szCs w:val="18"/>
              </w:rPr>
            </w:pPr>
            <w:r>
              <w:rPr>
                <w:rFonts w:hint="default" w:ascii="Times New Roman" w:hAnsi="Times New Roman" w:cs="Times New Roman"/>
                <w:sz w:val="18"/>
                <w:szCs w:val="18"/>
              </w:rPr>
              <w:t>9</w:t>
            </w:r>
          </w:p>
        </w:tc>
        <w:tc>
          <w:tcPr>
            <w:tcW w:w="993" w:type="dxa"/>
            <w:shd w:val="clear" w:color="auto" w:fill="auto"/>
            <w:vAlign w:val="center"/>
          </w:tcPr>
          <w:p w14:paraId="2957CF54">
            <w:pPr>
              <w:spacing w:line="240" w:lineRule="exact"/>
              <w:jc w:val="center"/>
              <w:rPr>
                <w:rFonts w:ascii="宋体" w:hAnsi="宋体"/>
                <w:sz w:val="18"/>
                <w:szCs w:val="18"/>
              </w:rPr>
            </w:pPr>
            <w:r>
              <w:rPr>
                <w:rFonts w:hint="eastAsia" w:ascii="宋体" w:hAnsi="宋体"/>
                <w:sz w:val="18"/>
                <w:szCs w:val="18"/>
              </w:rPr>
              <w:t>劳动与美育</w:t>
            </w:r>
          </w:p>
        </w:tc>
        <w:tc>
          <w:tcPr>
            <w:tcW w:w="6662" w:type="dxa"/>
            <w:shd w:val="clear" w:color="auto" w:fill="auto"/>
            <w:vAlign w:val="center"/>
          </w:tcPr>
          <w:p w14:paraId="11A2D0E6">
            <w:pPr>
              <w:ind w:firstLine="361" w:firstLineChars="200"/>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14:paraId="1C1C8846">
            <w:pPr>
              <w:ind w:firstLine="361" w:firstLineChars="200"/>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798" w:type="dxa"/>
            <w:shd w:val="clear" w:color="auto" w:fill="auto"/>
            <w:vAlign w:val="center"/>
          </w:tcPr>
          <w:p w14:paraId="0EDD3294">
            <w:pPr>
              <w:spacing w:line="240" w:lineRule="exact"/>
              <w:jc w:val="center"/>
              <w:rPr>
                <w:rFonts w:ascii="宋体" w:hAnsi="宋体"/>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32</w:t>
            </w:r>
          </w:p>
        </w:tc>
      </w:tr>
      <w:tr w14:paraId="0C12A5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shd w:val="clear" w:color="auto" w:fill="auto"/>
            <w:vAlign w:val="center"/>
          </w:tcPr>
          <w:p w14:paraId="6C340FAC">
            <w:pPr>
              <w:jc w:val="center"/>
              <w:rPr>
                <w:sz w:val="18"/>
                <w:szCs w:val="18"/>
              </w:rPr>
            </w:pPr>
            <w:r>
              <w:rPr>
                <w:rFonts w:hint="default" w:ascii="Times New Roman" w:hAnsi="Times New Roman" w:cs="Times New Roman"/>
                <w:sz w:val="18"/>
                <w:szCs w:val="18"/>
              </w:rPr>
              <w:t>10</w:t>
            </w:r>
          </w:p>
        </w:tc>
        <w:tc>
          <w:tcPr>
            <w:tcW w:w="993" w:type="dxa"/>
            <w:shd w:val="clear" w:color="auto" w:fill="auto"/>
            <w:vAlign w:val="center"/>
          </w:tcPr>
          <w:p w14:paraId="63ECB295">
            <w:pPr>
              <w:spacing w:line="240" w:lineRule="exact"/>
              <w:jc w:val="center"/>
              <w:rPr>
                <w:rFonts w:ascii="宋体" w:hAnsi="宋体"/>
                <w:sz w:val="18"/>
                <w:szCs w:val="18"/>
              </w:rPr>
            </w:pPr>
            <w:r>
              <w:rPr>
                <w:rFonts w:hint="eastAsia" w:ascii="宋体" w:hAnsi="宋体"/>
                <w:sz w:val="18"/>
                <w:szCs w:val="18"/>
              </w:rPr>
              <w:t>大学生创业基础</w:t>
            </w:r>
          </w:p>
        </w:tc>
        <w:tc>
          <w:tcPr>
            <w:tcW w:w="6662" w:type="dxa"/>
            <w:shd w:val="clear" w:color="auto" w:fill="auto"/>
            <w:vAlign w:val="center"/>
          </w:tcPr>
          <w:p w14:paraId="796C1C85">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从创新教育</w:t>
            </w:r>
            <w:r>
              <w:rPr>
                <w:rFonts w:ascii="宋体" w:hAnsi="宋体"/>
                <w:sz w:val="18"/>
                <w:szCs w:val="18"/>
              </w:rPr>
              <w:t>、</w:t>
            </w:r>
            <w:r>
              <w:rPr>
                <w:rFonts w:hint="eastAsia" w:ascii="宋体" w:hAnsi="宋体"/>
                <w:sz w:val="18"/>
                <w:szCs w:val="18"/>
              </w:rPr>
              <w:t>创业教育</w:t>
            </w:r>
            <w:r>
              <w:rPr>
                <w:rFonts w:ascii="宋体" w:hAnsi="宋体"/>
                <w:sz w:val="18"/>
                <w:szCs w:val="18"/>
              </w:rPr>
              <w:t>和专业教育</w:t>
            </w:r>
            <w:r>
              <w:rPr>
                <w:rFonts w:hint="eastAsia" w:ascii="宋体" w:hAnsi="宋体"/>
                <w:sz w:val="18"/>
                <w:szCs w:val="18"/>
              </w:rPr>
              <w:t>相融合的角度，</w:t>
            </w:r>
            <w:r>
              <w:rPr>
                <w:rFonts w:ascii="宋体" w:hAnsi="宋体"/>
                <w:sz w:val="18"/>
                <w:szCs w:val="18"/>
              </w:rPr>
              <w:t>通过</w:t>
            </w:r>
            <w:r>
              <w:rPr>
                <w:rFonts w:hint="eastAsia" w:ascii="宋体" w:hAnsi="宋体"/>
                <w:sz w:val="18"/>
                <w:szCs w:val="18"/>
              </w:rPr>
              <w:t>创新基本理论、创业团队组建、发掘创业机会、分析创业市场、整合创业资源、推演创业项目等内容</w:t>
            </w:r>
            <w:r>
              <w:rPr>
                <w:rFonts w:ascii="宋体" w:hAnsi="宋体"/>
                <w:sz w:val="18"/>
                <w:szCs w:val="18"/>
              </w:rPr>
              <w:t>学习，</w:t>
            </w:r>
            <w:r>
              <w:rPr>
                <w:rFonts w:hint="eastAsia" w:ascii="宋体" w:hAnsi="宋体"/>
                <w:sz w:val="18"/>
                <w:szCs w:val="18"/>
              </w:rPr>
              <w:t>使学生在参与教学过程中体验、参悟和提高创新创业能力。</w:t>
            </w:r>
          </w:p>
          <w:p w14:paraId="7457F6C4">
            <w:pPr>
              <w:ind w:firstLine="354" w:firstLineChars="196"/>
              <w:jc w:val="left"/>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宋体" w:hAnsi="宋体"/>
                <w:sz w:val="18"/>
                <w:szCs w:val="18"/>
              </w:rPr>
              <w:t>，促进创业就业和全面发展</w:t>
            </w:r>
            <w:r>
              <w:rPr>
                <w:rFonts w:hint="eastAsia" w:ascii="宋体" w:hAnsi="宋体"/>
                <w:sz w:val="18"/>
                <w:szCs w:val="18"/>
              </w:rPr>
              <w:t>。</w:t>
            </w:r>
          </w:p>
        </w:tc>
        <w:tc>
          <w:tcPr>
            <w:tcW w:w="798" w:type="dxa"/>
            <w:shd w:val="clear" w:color="auto" w:fill="auto"/>
            <w:vAlign w:val="center"/>
          </w:tcPr>
          <w:p w14:paraId="39A79D7B">
            <w:pPr>
              <w:spacing w:line="240" w:lineRule="exact"/>
              <w:jc w:val="center"/>
              <w:rPr>
                <w:rFonts w:ascii="宋体" w:hAnsi="宋体"/>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36</w:t>
            </w:r>
          </w:p>
        </w:tc>
      </w:tr>
      <w:tr w14:paraId="280E611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2" w:type="dxa"/>
            <w:shd w:val="clear" w:color="auto" w:fill="auto"/>
            <w:vAlign w:val="center"/>
          </w:tcPr>
          <w:p w14:paraId="28AE2CA8">
            <w:pPr>
              <w:jc w:val="center"/>
              <w:rPr>
                <w:sz w:val="18"/>
                <w:szCs w:val="18"/>
              </w:rPr>
            </w:pPr>
            <w:r>
              <w:rPr>
                <w:rFonts w:hint="default" w:ascii="Times New Roman" w:hAnsi="Times New Roman" w:cs="Times New Roman"/>
                <w:sz w:val="18"/>
                <w:szCs w:val="18"/>
              </w:rPr>
              <w:t>11</w:t>
            </w:r>
          </w:p>
        </w:tc>
        <w:tc>
          <w:tcPr>
            <w:tcW w:w="993" w:type="dxa"/>
            <w:shd w:val="clear" w:color="auto" w:fill="auto"/>
            <w:vAlign w:val="center"/>
          </w:tcPr>
          <w:p w14:paraId="02725B40">
            <w:pPr>
              <w:spacing w:line="240" w:lineRule="exact"/>
              <w:jc w:val="center"/>
              <w:rPr>
                <w:rFonts w:ascii="宋体" w:hAnsi="宋体"/>
                <w:sz w:val="18"/>
                <w:szCs w:val="18"/>
              </w:rPr>
            </w:pPr>
            <w:r>
              <w:rPr>
                <w:rFonts w:hint="eastAsia" w:ascii="宋体" w:hAnsi="宋体"/>
                <w:sz w:val="18"/>
                <w:szCs w:val="18"/>
              </w:rPr>
              <w:t>职业生涯发展规划与就业指导</w:t>
            </w:r>
          </w:p>
        </w:tc>
        <w:tc>
          <w:tcPr>
            <w:tcW w:w="6662" w:type="dxa"/>
            <w:shd w:val="clear" w:color="auto" w:fill="auto"/>
            <w:vAlign w:val="center"/>
          </w:tcPr>
          <w:p w14:paraId="0FBBAB60">
            <w:pPr>
              <w:ind w:firstLine="354" w:firstLineChars="196"/>
              <w:jc w:val="left"/>
              <w:rPr>
                <w:rFonts w:ascii="宋体" w:hAnsi="宋体"/>
                <w:sz w:val="18"/>
                <w:szCs w:val="18"/>
              </w:rPr>
            </w:pPr>
            <w:r>
              <w:rPr>
                <w:rFonts w:hint="eastAsia" w:ascii="宋体" w:hAnsi="宋体"/>
                <w:b/>
                <w:bCs/>
                <w:sz w:val="18"/>
                <w:szCs w:val="18"/>
              </w:rPr>
              <w:t>主要内容：</w:t>
            </w:r>
            <w:r>
              <w:rPr>
                <w:rFonts w:hint="eastAsia" w:ascii="宋体" w:hAnsi="宋体"/>
                <w:sz w:val="18"/>
                <w:szCs w:val="18"/>
              </w:rPr>
              <w:t>自我认知、社会环境认知、科学决策的方法、确立生涯目标；了解职场与职位、掌握简历写作方法、学习面试成功经验、提升大学生的就业能力。</w:t>
            </w:r>
          </w:p>
          <w:p w14:paraId="55300EF5">
            <w:pPr>
              <w:ind w:firstLine="354" w:firstLineChars="196"/>
              <w:jc w:val="left"/>
              <w:rPr>
                <w:sz w:val="18"/>
                <w:szCs w:val="18"/>
              </w:rPr>
            </w:pPr>
            <w:r>
              <w:rPr>
                <w:rFonts w:hint="eastAsia" w:ascii="宋体" w:hAnsi="宋体"/>
                <w:b/>
                <w:bCs/>
                <w:sz w:val="18"/>
                <w:szCs w:val="18"/>
              </w:rPr>
              <w:t>教学要求</w:t>
            </w:r>
            <w:r>
              <w:rPr>
                <w:rFonts w:hint="eastAsia" w:ascii="宋体" w:hAnsi="宋体"/>
                <w:sz w:val="18"/>
                <w:szCs w:val="18"/>
              </w:rPr>
              <w:t>：了解和掌握职业生涯规划的基本知识。增强大学生职业生涯规划的能力，帮助大学生更好的解决职业生涯过程中遇到的问题。</w:t>
            </w:r>
          </w:p>
        </w:tc>
        <w:tc>
          <w:tcPr>
            <w:tcW w:w="798" w:type="dxa"/>
            <w:shd w:val="clear" w:color="auto" w:fill="auto"/>
            <w:vAlign w:val="center"/>
          </w:tcPr>
          <w:p w14:paraId="4AEDFFD1">
            <w:pPr>
              <w:spacing w:line="240" w:lineRule="exact"/>
              <w:jc w:val="center"/>
              <w:rPr>
                <w:rFonts w:ascii="宋体" w:hAnsi="宋体"/>
                <w:sz w:val="18"/>
                <w:szCs w:val="18"/>
              </w:rPr>
            </w:pPr>
            <w:r>
              <w:rPr>
                <w:rFonts w:hint="default" w:ascii="Times New Roman" w:hAnsi="Times New Roman" w:cs="Times New Roman"/>
                <w:sz w:val="18"/>
                <w:szCs w:val="18"/>
              </w:rPr>
              <w:t>2</w:t>
            </w:r>
            <w:r>
              <w:rPr>
                <w:rFonts w:hint="eastAsia" w:ascii="宋体" w:hAnsi="宋体"/>
                <w:sz w:val="18"/>
                <w:szCs w:val="18"/>
              </w:rPr>
              <w:t>/</w:t>
            </w:r>
            <w:r>
              <w:rPr>
                <w:rFonts w:hint="default" w:ascii="Times New Roman" w:hAnsi="Times New Roman" w:cs="Times New Roman"/>
                <w:sz w:val="18"/>
                <w:szCs w:val="18"/>
              </w:rPr>
              <w:t>40</w:t>
            </w:r>
          </w:p>
        </w:tc>
      </w:tr>
    </w:tbl>
    <w:p w14:paraId="0BA8EA7F">
      <w:pPr>
        <w:spacing w:line="400" w:lineRule="exact"/>
        <w:ind w:firstLine="422" w:firstLineChars="200"/>
        <w:jc w:val="left"/>
        <w:rPr>
          <w:b/>
          <w:bCs/>
          <w:color w:val="000000"/>
          <w:kern w:val="0"/>
          <w:szCs w:val="21"/>
        </w:rPr>
      </w:pPr>
      <w:r>
        <w:rPr>
          <w:b/>
          <w:bCs/>
          <w:color w:val="000000"/>
          <w:kern w:val="0"/>
          <w:szCs w:val="21"/>
        </w:rPr>
        <w:t>（三）主要专业课教学内容与要求</w:t>
      </w:r>
    </w:p>
    <w:p w14:paraId="59D1C006">
      <w:pPr>
        <w:spacing w:line="400" w:lineRule="exact"/>
        <w:ind w:firstLine="420" w:firstLineChars="200"/>
        <w:jc w:val="left"/>
        <w:rPr>
          <w:rFonts w:eastAsia="仿宋_GB2312"/>
          <w:i/>
          <w:iCs/>
          <w:color w:val="0000FF"/>
          <w:kern w:val="0"/>
          <w:sz w:val="18"/>
          <w:szCs w:val="18"/>
        </w:rPr>
      </w:pPr>
      <w:r>
        <w:rPr>
          <w:rFonts w:hint="default" w:ascii="Times New Roman" w:hAnsi="Times New Roman" w:cs="Times New Roman"/>
          <w:color w:val="000000"/>
          <w:kern w:val="0"/>
          <w:szCs w:val="21"/>
        </w:rPr>
        <w:t>1</w:t>
      </w:r>
      <w:r>
        <w:rPr>
          <w:color w:val="000000"/>
          <w:kern w:val="0"/>
          <w:szCs w:val="21"/>
        </w:rPr>
        <w:t>.专业基础课程主要教学内容与要求</w:t>
      </w:r>
    </w:p>
    <w:p w14:paraId="3BC5C789">
      <w:pPr>
        <w:pStyle w:val="5"/>
        <w:keepNext/>
        <w:spacing w:line="240" w:lineRule="auto"/>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hint="default" w:ascii="Times New Roman" w:hAnsi="Times New Roman" w:eastAsia="宋体" w:cs="Times New Roman"/>
          <w:b/>
          <w:bCs/>
          <w:sz w:val="18"/>
          <w:szCs w:val="18"/>
        </w:rPr>
        <w:fldChar w:fldCharType="begin"/>
      </w:r>
      <w:r>
        <w:rPr>
          <w:rFonts w:hint="default" w:ascii="Times New Roman" w:hAnsi="Times New Roman" w:eastAsia="宋体" w:cs="Times New Roman"/>
          <w:b/>
          <w:bCs/>
          <w:sz w:val="18"/>
          <w:szCs w:val="18"/>
        </w:rPr>
        <w:instrText xml:space="preserve"> SEQ 表 \* ARABIC </w:instrText>
      </w:r>
      <w:r>
        <w:rPr>
          <w:rFonts w:hint="default" w:ascii="Times New Roman" w:hAnsi="Times New Roman" w:eastAsia="宋体" w:cs="Times New Roman"/>
          <w:b/>
          <w:bCs/>
          <w:sz w:val="18"/>
          <w:szCs w:val="18"/>
        </w:rPr>
        <w:fldChar w:fldCharType="separate"/>
      </w:r>
      <w:r>
        <w:rPr>
          <w:rFonts w:hint="default" w:ascii="Times New Roman" w:hAnsi="Times New Roman" w:eastAsia="宋体" w:cs="Times New Roman"/>
          <w:b/>
          <w:bCs/>
          <w:sz w:val="18"/>
          <w:szCs w:val="18"/>
        </w:rPr>
        <w:t>5</w:t>
      </w:r>
      <w:r>
        <w:rPr>
          <w:rFonts w:hint="default" w:ascii="Times New Roman" w:hAnsi="Times New Roman" w:eastAsia="宋体" w:cs="Times New Roman"/>
          <w:b/>
          <w:bCs/>
          <w:sz w:val="18"/>
          <w:szCs w:val="18"/>
        </w:rPr>
        <w:fldChar w:fldCharType="end"/>
      </w:r>
      <w:bookmarkStart w:id="2" w:name="_Hlk132978476"/>
      <w:r>
        <w:rPr>
          <w:rFonts w:ascii="Times New Roman" w:hAnsi="Times New Roman" w:eastAsia="宋体"/>
          <w:b/>
          <w:bCs/>
          <w:sz w:val="18"/>
          <w:szCs w:val="18"/>
        </w:rPr>
        <w:t>专业基础课主要教学内容与要求</w:t>
      </w:r>
      <w:bookmarkEnd w:id="2"/>
    </w:p>
    <w:tbl>
      <w:tblPr>
        <w:tblStyle w:val="13"/>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93"/>
        <w:gridCol w:w="930"/>
        <w:gridCol w:w="2050"/>
        <w:gridCol w:w="3034"/>
        <w:gridCol w:w="1380"/>
        <w:gridCol w:w="720"/>
      </w:tblGrid>
      <w:tr w14:paraId="1FF8F7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93" w:type="dxa"/>
            <w:shd w:val="clear" w:color="auto" w:fill="auto"/>
            <w:vAlign w:val="center"/>
          </w:tcPr>
          <w:p w14:paraId="41CE280B">
            <w:pPr>
              <w:pStyle w:val="2"/>
              <w:jc w:val="center"/>
              <w:rPr>
                <w:color w:val="000000"/>
                <w:kern w:val="0"/>
                <w:sz w:val="18"/>
                <w:szCs w:val="18"/>
              </w:rPr>
            </w:pPr>
            <w:r>
              <w:rPr>
                <w:color w:val="000000"/>
                <w:kern w:val="0"/>
                <w:sz w:val="18"/>
                <w:szCs w:val="18"/>
              </w:rPr>
              <w:t>序号</w:t>
            </w:r>
          </w:p>
        </w:tc>
        <w:tc>
          <w:tcPr>
            <w:tcW w:w="930" w:type="dxa"/>
            <w:shd w:val="clear" w:color="auto" w:fill="auto"/>
            <w:vAlign w:val="center"/>
          </w:tcPr>
          <w:p w14:paraId="0C573CAA">
            <w:pPr>
              <w:pStyle w:val="2"/>
              <w:jc w:val="center"/>
              <w:rPr>
                <w:color w:val="000000"/>
                <w:kern w:val="0"/>
                <w:sz w:val="18"/>
                <w:szCs w:val="18"/>
              </w:rPr>
            </w:pPr>
            <w:r>
              <w:rPr>
                <w:color w:val="000000"/>
                <w:kern w:val="0"/>
                <w:sz w:val="18"/>
                <w:szCs w:val="18"/>
              </w:rPr>
              <w:t>课程名称</w:t>
            </w:r>
          </w:p>
        </w:tc>
        <w:tc>
          <w:tcPr>
            <w:tcW w:w="2050" w:type="dxa"/>
            <w:shd w:val="clear" w:color="auto" w:fill="auto"/>
            <w:vAlign w:val="center"/>
          </w:tcPr>
          <w:p w14:paraId="6302D376">
            <w:pPr>
              <w:pStyle w:val="2"/>
              <w:jc w:val="center"/>
              <w:rPr>
                <w:color w:val="000000"/>
                <w:kern w:val="0"/>
                <w:sz w:val="18"/>
                <w:szCs w:val="18"/>
              </w:rPr>
            </w:pPr>
            <w:r>
              <w:rPr>
                <w:color w:val="000000"/>
                <w:kern w:val="0"/>
                <w:sz w:val="18"/>
                <w:szCs w:val="18"/>
              </w:rPr>
              <w:t>典型工作任务描述</w:t>
            </w:r>
          </w:p>
        </w:tc>
        <w:tc>
          <w:tcPr>
            <w:tcW w:w="3034" w:type="dxa"/>
            <w:shd w:val="clear" w:color="auto" w:fill="auto"/>
            <w:vAlign w:val="center"/>
          </w:tcPr>
          <w:p w14:paraId="1740F1F3">
            <w:pPr>
              <w:pStyle w:val="2"/>
              <w:jc w:val="center"/>
              <w:rPr>
                <w:color w:val="000000"/>
                <w:kern w:val="0"/>
                <w:sz w:val="18"/>
                <w:szCs w:val="18"/>
              </w:rPr>
            </w:pPr>
            <w:r>
              <w:rPr>
                <w:color w:val="000000"/>
                <w:kern w:val="0"/>
                <w:sz w:val="18"/>
                <w:szCs w:val="18"/>
              </w:rPr>
              <w:t>主要教学内容与要求</w:t>
            </w:r>
          </w:p>
        </w:tc>
        <w:tc>
          <w:tcPr>
            <w:tcW w:w="1380" w:type="dxa"/>
            <w:shd w:val="clear" w:color="auto" w:fill="auto"/>
            <w:vAlign w:val="center"/>
          </w:tcPr>
          <w:p w14:paraId="30840103">
            <w:pPr>
              <w:pStyle w:val="2"/>
              <w:jc w:val="center"/>
              <w:rPr>
                <w:color w:val="000000"/>
                <w:kern w:val="0"/>
                <w:sz w:val="18"/>
                <w:szCs w:val="18"/>
              </w:rPr>
            </w:pPr>
            <w:r>
              <w:rPr>
                <w:color w:val="000000"/>
                <w:kern w:val="0"/>
                <w:sz w:val="18"/>
                <w:szCs w:val="18"/>
              </w:rPr>
              <w:t>课程思政育人</w:t>
            </w:r>
          </w:p>
        </w:tc>
        <w:tc>
          <w:tcPr>
            <w:tcW w:w="720" w:type="dxa"/>
            <w:shd w:val="clear" w:color="auto" w:fill="auto"/>
          </w:tcPr>
          <w:p w14:paraId="18FEE660">
            <w:pPr>
              <w:pStyle w:val="2"/>
              <w:jc w:val="center"/>
              <w:rPr>
                <w:color w:val="000000"/>
                <w:kern w:val="0"/>
                <w:sz w:val="18"/>
                <w:szCs w:val="18"/>
              </w:rPr>
            </w:pPr>
            <w:r>
              <w:rPr>
                <w:color w:val="000000"/>
                <w:sz w:val="18"/>
                <w:szCs w:val="18"/>
              </w:rPr>
              <w:t>学分/学时</w:t>
            </w:r>
          </w:p>
        </w:tc>
      </w:tr>
      <w:tr w14:paraId="48E7C8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93" w:type="dxa"/>
            <w:shd w:val="clear" w:color="auto" w:fill="auto"/>
            <w:vAlign w:val="center"/>
          </w:tcPr>
          <w:p w14:paraId="2CB6C2D5">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1</w:t>
            </w:r>
          </w:p>
        </w:tc>
        <w:tc>
          <w:tcPr>
            <w:tcW w:w="930" w:type="dxa"/>
            <w:shd w:val="clear" w:color="auto" w:fill="auto"/>
            <w:vAlign w:val="center"/>
          </w:tcPr>
          <w:p w14:paraId="321B3588">
            <w:pPr>
              <w:pStyle w:val="2"/>
              <w:jc w:val="center"/>
              <w:rPr>
                <w:color w:val="000000" w:themeColor="text1"/>
                <w:kern w:val="0"/>
                <w:sz w:val="18"/>
                <w:szCs w:val="18"/>
              </w:rPr>
            </w:pPr>
            <w:r>
              <w:rPr>
                <w:rFonts w:hint="eastAsia"/>
                <w:color w:val="000000" w:themeColor="text1"/>
                <w:kern w:val="0"/>
                <w:sz w:val="18"/>
                <w:szCs w:val="18"/>
              </w:rPr>
              <w:t>会计核算实务操作</w:t>
            </w:r>
          </w:p>
        </w:tc>
        <w:tc>
          <w:tcPr>
            <w:tcW w:w="2050" w:type="dxa"/>
            <w:shd w:val="clear" w:color="auto" w:fill="auto"/>
            <w:vAlign w:val="center"/>
          </w:tcPr>
          <w:p w14:paraId="7AC6A2F9">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1</w:t>
            </w:r>
            <w:r>
              <w:rPr>
                <w:color w:val="000000" w:themeColor="text1"/>
                <w:kern w:val="0"/>
                <w:sz w:val="18"/>
                <w:szCs w:val="18"/>
              </w:rPr>
              <w:t xml:space="preserve"> </w:t>
            </w:r>
            <w:r>
              <w:rPr>
                <w:rFonts w:hint="eastAsia"/>
                <w:color w:val="000000" w:themeColor="text1"/>
                <w:kern w:val="0"/>
                <w:sz w:val="18"/>
                <w:szCs w:val="18"/>
              </w:rPr>
              <w:t>设置会计科目和账户</w:t>
            </w:r>
          </w:p>
          <w:p w14:paraId="02161CD0">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运用借贷记账法</w:t>
            </w:r>
          </w:p>
          <w:p w14:paraId="4265A8C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3</w:t>
            </w:r>
            <w:r>
              <w:rPr>
                <w:color w:val="000000" w:themeColor="text1"/>
                <w:kern w:val="0"/>
                <w:sz w:val="18"/>
                <w:szCs w:val="18"/>
              </w:rPr>
              <w:t xml:space="preserve"> </w:t>
            </w:r>
            <w:r>
              <w:rPr>
                <w:rFonts w:hint="eastAsia"/>
                <w:color w:val="000000" w:themeColor="text1"/>
                <w:kern w:val="0"/>
                <w:sz w:val="18"/>
                <w:szCs w:val="18"/>
              </w:rPr>
              <w:t>填制和审核会计凭证</w:t>
            </w:r>
          </w:p>
          <w:p w14:paraId="3E2F8F22">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4</w:t>
            </w:r>
            <w:r>
              <w:rPr>
                <w:color w:val="000000" w:themeColor="text1"/>
                <w:kern w:val="0"/>
                <w:sz w:val="18"/>
                <w:szCs w:val="18"/>
              </w:rPr>
              <w:t xml:space="preserve"> </w:t>
            </w:r>
            <w:r>
              <w:rPr>
                <w:rFonts w:hint="eastAsia"/>
                <w:color w:val="000000" w:themeColor="text1"/>
                <w:kern w:val="0"/>
                <w:sz w:val="18"/>
                <w:szCs w:val="18"/>
              </w:rPr>
              <w:t>主要经济业务核算</w:t>
            </w:r>
          </w:p>
          <w:p w14:paraId="390A1C9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5</w:t>
            </w:r>
            <w:r>
              <w:rPr>
                <w:color w:val="000000" w:themeColor="text1"/>
                <w:kern w:val="0"/>
                <w:sz w:val="18"/>
                <w:szCs w:val="18"/>
              </w:rPr>
              <w:t xml:space="preserve"> </w:t>
            </w:r>
            <w:r>
              <w:rPr>
                <w:rFonts w:hint="eastAsia"/>
                <w:color w:val="000000" w:themeColor="text1"/>
                <w:kern w:val="0"/>
                <w:sz w:val="18"/>
                <w:szCs w:val="18"/>
              </w:rPr>
              <w:t>登记账簿</w:t>
            </w:r>
          </w:p>
          <w:p w14:paraId="755672C2">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财产清查</w:t>
            </w:r>
          </w:p>
          <w:p w14:paraId="2DA582D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1</w:t>
            </w:r>
            <w:r>
              <w:rPr>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编制财务报表</w:t>
            </w:r>
          </w:p>
        </w:tc>
        <w:tc>
          <w:tcPr>
            <w:tcW w:w="3034" w:type="dxa"/>
            <w:shd w:val="clear" w:color="auto" w:fill="auto"/>
            <w:vAlign w:val="center"/>
          </w:tcPr>
          <w:p w14:paraId="1AC1E1A2">
            <w:pPr>
              <w:pStyle w:val="2"/>
              <w:ind w:firstLine="360" w:firstLineChars="200"/>
              <w:rPr>
                <w:color w:val="000000" w:themeColor="text1"/>
                <w:kern w:val="0"/>
                <w:sz w:val="18"/>
                <w:szCs w:val="18"/>
              </w:rPr>
            </w:pPr>
            <w:r>
              <w:rPr>
                <w:rFonts w:hint="eastAsia"/>
                <w:color w:val="000000" w:themeColor="text1"/>
                <w:kern w:val="0"/>
                <w:sz w:val="18"/>
                <w:szCs w:val="18"/>
              </w:rPr>
              <w:t>主要内容：会计假设、会计核算基础、会计信息质量要求；会计要素、会计核算基本方法和程序；复式记账应用。</w:t>
            </w:r>
          </w:p>
          <w:p w14:paraId="6C97A5E8">
            <w:pPr>
              <w:pStyle w:val="2"/>
              <w:ind w:firstLine="360" w:firstLineChars="200"/>
              <w:rPr>
                <w:color w:val="000000" w:themeColor="text1"/>
                <w:kern w:val="0"/>
                <w:sz w:val="18"/>
                <w:szCs w:val="18"/>
              </w:rPr>
            </w:pPr>
            <w:r>
              <w:rPr>
                <w:rFonts w:hint="eastAsia"/>
                <w:color w:val="000000" w:themeColor="text1"/>
                <w:kern w:val="0"/>
                <w:sz w:val="18"/>
                <w:szCs w:val="18"/>
              </w:rPr>
              <w:t>教学要求：了解会计法规、会计准则、会计制度的构成体系和基本内容；掌握会计核算基本方法。</w:t>
            </w:r>
          </w:p>
        </w:tc>
        <w:tc>
          <w:tcPr>
            <w:tcW w:w="1380" w:type="dxa"/>
            <w:shd w:val="clear" w:color="auto" w:fill="auto"/>
            <w:vAlign w:val="center"/>
          </w:tcPr>
          <w:p w14:paraId="2DA21C7B">
            <w:pPr>
              <w:pStyle w:val="2"/>
              <w:jc w:val="center"/>
              <w:rPr>
                <w:color w:val="000000" w:themeColor="text1"/>
                <w:kern w:val="0"/>
                <w:sz w:val="18"/>
                <w:szCs w:val="18"/>
              </w:rPr>
            </w:pPr>
            <w:r>
              <w:rPr>
                <w:rFonts w:hint="eastAsia"/>
                <w:color w:val="000000" w:themeColor="text1"/>
                <w:kern w:val="0"/>
                <w:sz w:val="18"/>
                <w:szCs w:val="18"/>
              </w:rPr>
              <w:t>行业认同</w:t>
            </w:r>
          </w:p>
          <w:p w14:paraId="0D11DA74">
            <w:pPr>
              <w:pStyle w:val="2"/>
              <w:jc w:val="center"/>
              <w:rPr>
                <w:color w:val="000000" w:themeColor="text1"/>
                <w:kern w:val="0"/>
                <w:sz w:val="18"/>
                <w:szCs w:val="18"/>
              </w:rPr>
            </w:pPr>
            <w:r>
              <w:rPr>
                <w:rFonts w:hint="eastAsia"/>
                <w:color w:val="000000" w:themeColor="text1"/>
                <w:kern w:val="0"/>
                <w:sz w:val="18"/>
                <w:szCs w:val="18"/>
              </w:rPr>
              <w:t>职业自豪</w:t>
            </w:r>
          </w:p>
          <w:p w14:paraId="1F9342D7">
            <w:pPr>
              <w:pStyle w:val="2"/>
              <w:jc w:val="center"/>
              <w:rPr>
                <w:color w:val="000000" w:themeColor="text1"/>
                <w:kern w:val="0"/>
                <w:sz w:val="18"/>
                <w:szCs w:val="18"/>
              </w:rPr>
            </w:pPr>
            <w:r>
              <w:rPr>
                <w:rFonts w:hint="eastAsia"/>
                <w:color w:val="000000" w:themeColor="text1"/>
                <w:kern w:val="0"/>
                <w:sz w:val="18"/>
                <w:szCs w:val="18"/>
              </w:rPr>
              <w:t>文化自信</w:t>
            </w:r>
          </w:p>
          <w:p w14:paraId="2634D3FB">
            <w:pPr>
              <w:pStyle w:val="2"/>
              <w:jc w:val="center"/>
              <w:rPr>
                <w:color w:val="000000" w:themeColor="text1"/>
                <w:kern w:val="0"/>
                <w:sz w:val="18"/>
                <w:szCs w:val="18"/>
              </w:rPr>
            </w:pPr>
            <w:r>
              <w:rPr>
                <w:rFonts w:hint="eastAsia"/>
                <w:color w:val="000000" w:themeColor="text1"/>
                <w:kern w:val="0"/>
                <w:sz w:val="18"/>
                <w:szCs w:val="18"/>
              </w:rPr>
              <w:t>社会责任</w:t>
            </w:r>
          </w:p>
        </w:tc>
        <w:tc>
          <w:tcPr>
            <w:tcW w:w="720" w:type="dxa"/>
            <w:shd w:val="clear" w:color="auto" w:fill="auto"/>
            <w:vAlign w:val="center"/>
          </w:tcPr>
          <w:p w14:paraId="02991FD0">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default" w:ascii="Times New Roman" w:hAnsi="Times New Roman" w:cs="Times New Roman"/>
                <w:color w:val="000000" w:themeColor="text1"/>
                <w:kern w:val="0"/>
                <w:sz w:val="18"/>
                <w:szCs w:val="18"/>
                <w:lang w:val="en-US" w:eastAsia="zh-CN"/>
              </w:rPr>
              <w:t>2</w:t>
            </w:r>
          </w:p>
        </w:tc>
      </w:tr>
      <w:tr w14:paraId="23CF7F6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93" w:type="dxa"/>
            <w:tcBorders>
              <w:bottom w:val="single" w:color="auto" w:sz="4" w:space="0"/>
            </w:tcBorders>
            <w:shd w:val="clear" w:color="auto" w:fill="auto"/>
            <w:vAlign w:val="center"/>
          </w:tcPr>
          <w:p w14:paraId="5493813E">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2</w:t>
            </w:r>
          </w:p>
        </w:tc>
        <w:tc>
          <w:tcPr>
            <w:tcW w:w="930" w:type="dxa"/>
            <w:tcBorders>
              <w:bottom w:val="single" w:color="auto" w:sz="4" w:space="0"/>
            </w:tcBorders>
            <w:shd w:val="clear" w:color="auto" w:fill="auto"/>
            <w:vAlign w:val="center"/>
          </w:tcPr>
          <w:p w14:paraId="30B39A93">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出纳业务操作</w:t>
            </w:r>
          </w:p>
          <w:p w14:paraId="5D953A3C">
            <w:pPr>
              <w:pStyle w:val="2"/>
              <w:jc w:val="center"/>
              <w:rPr>
                <w:color w:val="000000" w:themeColor="text1"/>
                <w:kern w:val="0"/>
                <w:sz w:val="18"/>
                <w:szCs w:val="18"/>
              </w:rPr>
            </w:pPr>
          </w:p>
        </w:tc>
        <w:tc>
          <w:tcPr>
            <w:tcW w:w="2050" w:type="dxa"/>
            <w:tcBorders>
              <w:bottom w:val="single" w:color="auto" w:sz="4" w:space="0"/>
            </w:tcBorders>
            <w:shd w:val="clear" w:color="auto" w:fill="auto"/>
            <w:vAlign w:val="center"/>
          </w:tcPr>
          <w:p w14:paraId="193785BB">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出纳基本技能</w:t>
            </w:r>
          </w:p>
          <w:p w14:paraId="0379912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现金的收付业务</w:t>
            </w:r>
          </w:p>
          <w:p w14:paraId="209B53EB">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银行账户的管理与使用</w:t>
            </w:r>
          </w:p>
          <w:p w14:paraId="19D4808D">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银行结算业务</w:t>
            </w:r>
          </w:p>
          <w:p w14:paraId="4D07F084">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出纳账簿及凭证交接</w:t>
            </w:r>
          </w:p>
          <w:p w14:paraId="142A56F0">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月末业务</w:t>
            </w:r>
          </w:p>
        </w:tc>
        <w:tc>
          <w:tcPr>
            <w:tcW w:w="3034" w:type="dxa"/>
            <w:tcBorders>
              <w:bottom w:val="single" w:color="auto" w:sz="4" w:space="0"/>
            </w:tcBorders>
            <w:shd w:val="clear" w:color="auto" w:fill="auto"/>
            <w:vAlign w:val="center"/>
          </w:tcPr>
          <w:p w14:paraId="75704FE4">
            <w:pPr>
              <w:adjustRightInd w:val="0"/>
              <w:ind w:firstLine="360" w:firstLineChars="200"/>
              <w:jc w:val="left"/>
              <w:rPr>
                <w:rFonts w:cs="宋体"/>
                <w:sz w:val="18"/>
                <w:szCs w:val="18"/>
              </w:rPr>
            </w:pPr>
            <w:r>
              <w:rPr>
                <w:rFonts w:hint="eastAsia" w:cs="宋体"/>
                <w:sz w:val="18"/>
                <w:szCs w:val="18"/>
              </w:rPr>
              <w:t>主要内容：登记现金日记账；登记银行日记账；编制银行存款余额调节表；出纳工作交接等。</w:t>
            </w:r>
          </w:p>
          <w:p w14:paraId="22E4C971">
            <w:pPr>
              <w:adjustRightInd w:val="0"/>
              <w:ind w:firstLine="360" w:firstLineChars="200"/>
              <w:jc w:val="left"/>
              <w:rPr>
                <w:color w:val="000000" w:themeColor="text1"/>
                <w:kern w:val="0"/>
                <w:sz w:val="18"/>
                <w:szCs w:val="18"/>
              </w:rPr>
            </w:pPr>
            <w:r>
              <w:rPr>
                <w:rFonts w:hint="eastAsia" w:cs="宋体"/>
                <w:sz w:val="18"/>
                <w:szCs w:val="18"/>
              </w:rPr>
              <w:t>教学要求：掌握出纳工作的基本内容、出纳的典型业务流程和出纳的基本专业技能。</w:t>
            </w:r>
          </w:p>
        </w:tc>
        <w:tc>
          <w:tcPr>
            <w:tcW w:w="1380" w:type="dxa"/>
            <w:tcBorders>
              <w:bottom w:val="single" w:color="auto" w:sz="4" w:space="0"/>
            </w:tcBorders>
            <w:shd w:val="clear" w:color="auto" w:fill="auto"/>
            <w:vAlign w:val="center"/>
          </w:tcPr>
          <w:p w14:paraId="3E1B30C6">
            <w:pPr>
              <w:pStyle w:val="2"/>
              <w:jc w:val="center"/>
              <w:rPr>
                <w:color w:val="000000" w:themeColor="text1"/>
                <w:kern w:val="0"/>
                <w:sz w:val="18"/>
                <w:szCs w:val="18"/>
              </w:rPr>
            </w:pPr>
            <w:r>
              <w:rPr>
                <w:rFonts w:hint="eastAsia"/>
                <w:color w:val="000000" w:themeColor="text1"/>
                <w:kern w:val="0"/>
                <w:sz w:val="18"/>
                <w:szCs w:val="18"/>
              </w:rPr>
              <w:t>守法奉公</w:t>
            </w:r>
          </w:p>
          <w:p w14:paraId="69A19598">
            <w:pPr>
              <w:pStyle w:val="2"/>
              <w:jc w:val="center"/>
              <w:rPr>
                <w:color w:val="000000" w:themeColor="text1"/>
                <w:kern w:val="0"/>
                <w:sz w:val="18"/>
                <w:szCs w:val="18"/>
              </w:rPr>
            </w:pPr>
            <w:r>
              <w:rPr>
                <w:rFonts w:hint="eastAsia"/>
                <w:color w:val="000000" w:themeColor="text1"/>
                <w:kern w:val="0"/>
                <w:sz w:val="18"/>
                <w:szCs w:val="18"/>
              </w:rPr>
              <w:t>责任意识</w:t>
            </w:r>
          </w:p>
        </w:tc>
        <w:tc>
          <w:tcPr>
            <w:tcW w:w="720" w:type="dxa"/>
            <w:tcBorders>
              <w:bottom w:val="single" w:color="auto" w:sz="4" w:space="0"/>
            </w:tcBorders>
            <w:shd w:val="clear" w:color="auto" w:fill="auto"/>
            <w:vAlign w:val="center"/>
          </w:tcPr>
          <w:p w14:paraId="0A1550AF">
            <w:pPr>
              <w:pStyle w:val="2"/>
              <w:jc w:val="center"/>
              <w:rPr>
                <w:rFonts w:hint="default"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lang w:val="en-US" w:eastAsia="zh-CN"/>
              </w:rPr>
              <w:t>34</w:t>
            </w:r>
          </w:p>
        </w:tc>
      </w:tr>
      <w:tr w14:paraId="2F731B8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7" w:hRule="atLeast"/>
          <w:jc w:val="center"/>
        </w:trPr>
        <w:tc>
          <w:tcPr>
            <w:tcW w:w="693" w:type="dxa"/>
            <w:tcBorders>
              <w:top w:val="single" w:color="auto" w:sz="4" w:space="0"/>
            </w:tcBorders>
            <w:shd w:val="clear" w:color="auto" w:fill="auto"/>
            <w:vAlign w:val="center"/>
          </w:tcPr>
          <w:p w14:paraId="55854A3E">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3</w:t>
            </w:r>
          </w:p>
        </w:tc>
        <w:tc>
          <w:tcPr>
            <w:tcW w:w="930" w:type="dxa"/>
            <w:tcBorders>
              <w:top w:val="single" w:color="auto" w:sz="4" w:space="0"/>
            </w:tcBorders>
            <w:shd w:val="clear" w:color="auto" w:fill="auto"/>
            <w:vAlign w:val="center"/>
          </w:tcPr>
          <w:p w14:paraId="0A6994A6">
            <w:pPr>
              <w:pStyle w:val="2"/>
              <w:jc w:val="center"/>
              <w:rPr>
                <w:color w:val="000000" w:themeColor="text1"/>
                <w:kern w:val="0"/>
                <w:sz w:val="18"/>
                <w:szCs w:val="18"/>
              </w:rPr>
            </w:pPr>
            <w:r>
              <w:rPr>
                <w:rFonts w:hint="eastAsia"/>
                <w:color w:val="000000" w:themeColor="text1"/>
                <w:kern w:val="0"/>
                <w:sz w:val="18"/>
                <w:szCs w:val="18"/>
              </w:rPr>
              <w:t>财经法规与会计职业道德</w:t>
            </w:r>
          </w:p>
        </w:tc>
        <w:tc>
          <w:tcPr>
            <w:tcW w:w="2050" w:type="dxa"/>
            <w:tcBorders>
              <w:top w:val="single" w:color="auto" w:sz="4" w:space="0"/>
            </w:tcBorders>
            <w:shd w:val="clear" w:color="auto" w:fill="auto"/>
            <w:vAlign w:val="center"/>
          </w:tcPr>
          <w:p w14:paraId="793C59B4">
            <w:pPr>
              <w:pStyle w:val="2"/>
              <w:rPr>
                <w:color w:val="000000" w:themeColor="text1"/>
                <w:kern w:val="0"/>
                <w:sz w:val="18"/>
                <w:szCs w:val="18"/>
              </w:rPr>
            </w:pP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认知会计法律制度</w:t>
            </w:r>
          </w:p>
          <w:p w14:paraId="7807A596">
            <w:pPr>
              <w:pStyle w:val="2"/>
              <w:rPr>
                <w:color w:val="000000" w:themeColor="text1"/>
                <w:kern w:val="0"/>
                <w:sz w:val="18"/>
                <w:szCs w:val="18"/>
              </w:rPr>
            </w:pP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认知结算法律制度</w:t>
            </w:r>
          </w:p>
          <w:p w14:paraId="13203D0A">
            <w:pPr>
              <w:pStyle w:val="2"/>
              <w:rPr>
                <w:color w:val="000000" w:themeColor="text1"/>
                <w:kern w:val="0"/>
                <w:sz w:val="18"/>
                <w:szCs w:val="18"/>
              </w:rPr>
            </w:pP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认知税收法律制度</w:t>
            </w:r>
          </w:p>
          <w:p w14:paraId="3B0A84FF">
            <w:pPr>
              <w:pStyle w:val="2"/>
              <w:rPr>
                <w:color w:val="000000" w:themeColor="text1"/>
                <w:kern w:val="0"/>
                <w:sz w:val="18"/>
                <w:szCs w:val="18"/>
              </w:rPr>
            </w:pP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财知财政法律制度</w:t>
            </w:r>
          </w:p>
          <w:p w14:paraId="0ABBE62E">
            <w:pPr>
              <w:pStyle w:val="2"/>
              <w:rPr>
                <w:color w:val="000000" w:themeColor="text1"/>
                <w:kern w:val="0"/>
                <w:sz w:val="18"/>
                <w:szCs w:val="18"/>
              </w:rPr>
            </w:pP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认知会计职业道德</w:t>
            </w:r>
          </w:p>
        </w:tc>
        <w:tc>
          <w:tcPr>
            <w:tcW w:w="3034" w:type="dxa"/>
            <w:tcBorders>
              <w:top w:val="single" w:color="auto" w:sz="4" w:space="0"/>
            </w:tcBorders>
            <w:shd w:val="clear" w:color="auto" w:fill="auto"/>
            <w:vAlign w:val="center"/>
          </w:tcPr>
          <w:p w14:paraId="28607596">
            <w:pPr>
              <w:adjustRightInd w:val="0"/>
              <w:ind w:firstLine="360" w:firstLineChars="200"/>
              <w:rPr>
                <w:rFonts w:cs="宋体"/>
                <w:sz w:val="18"/>
                <w:szCs w:val="18"/>
              </w:rPr>
            </w:pPr>
            <w:r>
              <w:rPr>
                <w:rFonts w:hint="eastAsia" w:cs="宋体"/>
                <w:sz w:val="18"/>
                <w:szCs w:val="18"/>
              </w:rPr>
              <w:t>主要内容：财经法规概论；会计法律制度；支付结算法律制度；税收法律制度；财政法规制度；会计职业道德概述；会计职业道德的行为规范体系；会计职业道德教育与修养；会计职业道德建设。</w:t>
            </w:r>
          </w:p>
          <w:p w14:paraId="61965030">
            <w:pPr>
              <w:adjustRightInd w:val="0"/>
              <w:ind w:firstLine="360" w:firstLineChars="200"/>
              <w:rPr>
                <w:color w:val="000000" w:themeColor="text1"/>
                <w:kern w:val="0"/>
                <w:sz w:val="18"/>
                <w:szCs w:val="18"/>
              </w:rPr>
            </w:pPr>
            <w:r>
              <w:rPr>
                <w:rFonts w:hint="eastAsia" w:cs="宋体"/>
                <w:sz w:val="18"/>
                <w:szCs w:val="18"/>
              </w:rPr>
              <w:t>教学要求：培养会计人员和潜在会计人员的会计职业素养和从事财务会计工作的专业实践能力。本课程是会计工作者从事会计工作必须掌握的法律知识和道德知识。</w:t>
            </w:r>
          </w:p>
        </w:tc>
        <w:tc>
          <w:tcPr>
            <w:tcW w:w="1380" w:type="dxa"/>
            <w:tcBorders>
              <w:top w:val="single" w:color="auto" w:sz="4" w:space="0"/>
            </w:tcBorders>
            <w:shd w:val="clear" w:color="auto" w:fill="auto"/>
            <w:vAlign w:val="center"/>
          </w:tcPr>
          <w:p w14:paraId="55686884">
            <w:pPr>
              <w:pStyle w:val="2"/>
              <w:jc w:val="center"/>
              <w:rPr>
                <w:color w:val="000000" w:themeColor="text1"/>
                <w:kern w:val="0"/>
                <w:sz w:val="18"/>
                <w:szCs w:val="18"/>
              </w:rPr>
            </w:pPr>
            <w:r>
              <w:rPr>
                <w:rFonts w:hint="eastAsia"/>
                <w:color w:val="000000" w:themeColor="text1"/>
                <w:kern w:val="0"/>
                <w:sz w:val="18"/>
                <w:szCs w:val="18"/>
              </w:rPr>
              <w:t>坚持守信</w:t>
            </w:r>
          </w:p>
          <w:p w14:paraId="08115580">
            <w:pPr>
              <w:pStyle w:val="2"/>
              <w:jc w:val="center"/>
              <w:rPr>
                <w:color w:val="000000" w:themeColor="text1"/>
                <w:kern w:val="0"/>
                <w:sz w:val="18"/>
                <w:szCs w:val="18"/>
              </w:rPr>
            </w:pPr>
            <w:r>
              <w:rPr>
                <w:rFonts w:hint="eastAsia"/>
                <w:color w:val="000000" w:themeColor="text1"/>
                <w:kern w:val="0"/>
                <w:sz w:val="18"/>
                <w:szCs w:val="18"/>
              </w:rPr>
              <w:t>守责敬业</w:t>
            </w:r>
          </w:p>
        </w:tc>
        <w:tc>
          <w:tcPr>
            <w:tcW w:w="720" w:type="dxa"/>
            <w:tcBorders>
              <w:top w:val="single" w:color="auto" w:sz="4" w:space="0"/>
            </w:tcBorders>
            <w:shd w:val="clear" w:color="auto" w:fill="auto"/>
            <w:vAlign w:val="center"/>
          </w:tcPr>
          <w:p w14:paraId="4ED7EC09">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lang w:val="en-US" w:eastAsia="zh-CN"/>
              </w:rPr>
              <w:t>64</w:t>
            </w:r>
          </w:p>
        </w:tc>
      </w:tr>
      <w:tr w14:paraId="38F14F8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93" w:type="dxa"/>
            <w:shd w:val="clear" w:color="auto" w:fill="auto"/>
            <w:vAlign w:val="center"/>
          </w:tcPr>
          <w:p w14:paraId="5A6150AF">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4</w:t>
            </w:r>
          </w:p>
        </w:tc>
        <w:tc>
          <w:tcPr>
            <w:tcW w:w="930" w:type="dxa"/>
            <w:shd w:val="clear" w:color="auto" w:fill="auto"/>
            <w:vAlign w:val="center"/>
          </w:tcPr>
          <w:p w14:paraId="080ABE55">
            <w:pPr>
              <w:pStyle w:val="2"/>
              <w:jc w:val="center"/>
              <w:rPr>
                <w:rFonts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纳税实务</w:t>
            </w:r>
          </w:p>
        </w:tc>
        <w:tc>
          <w:tcPr>
            <w:tcW w:w="2050" w:type="dxa"/>
            <w:shd w:val="clear" w:color="auto" w:fill="auto"/>
            <w:vAlign w:val="center"/>
          </w:tcPr>
          <w:p w14:paraId="1F6B52D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企业纳税基础</w:t>
            </w:r>
          </w:p>
          <w:p w14:paraId="2C27A49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增值税税务处理</w:t>
            </w:r>
          </w:p>
          <w:p w14:paraId="45CFBA57">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消费税税务处理</w:t>
            </w:r>
          </w:p>
          <w:p w14:paraId="3E1D45D4">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企业所得税税务处理</w:t>
            </w:r>
          </w:p>
          <w:p w14:paraId="53FEED61">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个人所得税税务处理</w:t>
            </w:r>
          </w:p>
          <w:p w14:paraId="3576850E">
            <w:pPr>
              <w:pStyle w:val="2"/>
              <w:jc w:val="left"/>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其他税种税务处理</w:t>
            </w:r>
          </w:p>
        </w:tc>
        <w:tc>
          <w:tcPr>
            <w:tcW w:w="3034" w:type="dxa"/>
            <w:shd w:val="clear" w:color="auto" w:fill="auto"/>
            <w:vAlign w:val="center"/>
          </w:tcPr>
          <w:p w14:paraId="18BEC40E">
            <w:pPr>
              <w:adjustRightInd w:val="0"/>
              <w:ind w:firstLine="360" w:firstLineChars="200"/>
              <w:jc w:val="left"/>
              <w:rPr>
                <w:rFonts w:ascii="宋体" w:hAnsi="宋体" w:cs="宋体"/>
                <w:color w:val="000000" w:themeColor="text1"/>
                <w:sz w:val="18"/>
                <w:szCs w:val="18"/>
              </w:rPr>
            </w:pPr>
            <w:r>
              <w:rPr>
                <w:rFonts w:hint="eastAsia" w:ascii="宋体" w:hAnsi="宋体" w:cs="宋体"/>
                <w:color w:val="000000" w:themeColor="text1"/>
                <w:sz w:val="18"/>
                <w:szCs w:val="18"/>
              </w:rPr>
              <w:t>主要内容：增值税、消费税、企业所得税、个人所得税、关税、房产税、城市维护建设税、车船税、印花税、契税、土地增值税、城镇土地使用税、资源税等企业经常涉及的税收相关法规、税款计算、申报缴纳、涉税会计处理的专业知识和纳税工作流程的规定。</w:t>
            </w:r>
          </w:p>
          <w:p w14:paraId="23303F47">
            <w:pPr>
              <w:adjustRightInd w:val="0"/>
              <w:ind w:firstLine="360" w:firstLineChars="200"/>
              <w:jc w:val="left"/>
              <w:rPr>
                <w:rFonts w:hint="eastAsia" w:ascii="Times New Roman" w:hAnsi="Times New Roman" w:eastAsia="宋体" w:cs="Times New Roman"/>
                <w:color w:val="000000" w:themeColor="text1"/>
                <w:kern w:val="0"/>
                <w:sz w:val="18"/>
                <w:szCs w:val="18"/>
                <w:lang w:val="en-US" w:eastAsia="zh-CN" w:bidi="ar-SA"/>
              </w:rPr>
            </w:pPr>
            <w:r>
              <w:rPr>
                <w:rFonts w:hint="eastAsia" w:ascii="宋体" w:hAnsi="宋体" w:cs="宋体"/>
                <w:color w:val="000000" w:themeColor="text1"/>
                <w:sz w:val="18"/>
                <w:szCs w:val="18"/>
              </w:rPr>
              <w:t>教学要求：具备从事本专业相关职业岗位所必需的税务登记、税费计算、纳税申报、税款缴纳、会计核算等相关职业技能。</w:t>
            </w:r>
          </w:p>
        </w:tc>
        <w:tc>
          <w:tcPr>
            <w:tcW w:w="1380" w:type="dxa"/>
            <w:shd w:val="clear" w:color="auto" w:fill="auto"/>
            <w:vAlign w:val="center"/>
          </w:tcPr>
          <w:p w14:paraId="58D4377E">
            <w:pPr>
              <w:pStyle w:val="2"/>
              <w:jc w:val="center"/>
              <w:rPr>
                <w:color w:val="000000" w:themeColor="text1"/>
                <w:kern w:val="0"/>
                <w:sz w:val="18"/>
                <w:szCs w:val="18"/>
              </w:rPr>
            </w:pPr>
            <w:r>
              <w:rPr>
                <w:rFonts w:hint="eastAsia"/>
                <w:color w:val="000000" w:themeColor="text1"/>
                <w:kern w:val="0"/>
                <w:sz w:val="18"/>
                <w:szCs w:val="18"/>
              </w:rPr>
              <w:t>合规意识</w:t>
            </w:r>
          </w:p>
          <w:p w14:paraId="433988AD">
            <w:pPr>
              <w:pStyle w:val="2"/>
              <w:jc w:val="center"/>
              <w:rPr>
                <w:color w:val="000000" w:themeColor="text1"/>
                <w:kern w:val="0"/>
                <w:sz w:val="18"/>
                <w:szCs w:val="18"/>
              </w:rPr>
            </w:pPr>
            <w:r>
              <w:rPr>
                <w:rFonts w:hint="eastAsia"/>
                <w:color w:val="000000" w:themeColor="text1"/>
                <w:kern w:val="0"/>
                <w:sz w:val="18"/>
                <w:szCs w:val="18"/>
              </w:rPr>
              <w:t>底线思维</w:t>
            </w:r>
          </w:p>
          <w:p w14:paraId="628B583E">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责任担当</w:t>
            </w:r>
          </w:p>
        </w:tc>
        <w:tc>
          <w:tcPr>
            <w:tcW w:w="720" w:type="dxa"/>
            <w:shd w:val="clear" w:color="auto" w:fill="auto"/>
            <w:vAlign w:val="center"/>
          </w:tcPr>
          <w:p w14:paraId="378287B2">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default" w:ascii="Times New Roman" w:hAnsi="Times New Roman" w:cs="Times New Roman"/>
                <w:color w:val="000000" w:themeColor="text1"/>
                <w:kern w:val="0"/>
                <w:sz w:val="18"/>
                <w:szCs w:val="18"/>
                <w:lang w:val="en-US" w:eastAsia="zh-CN"/>
              </w:rPr>
              <w:t>8</w:t>
            </w:r>
          </w:p>
        </w:tc>
      </w:tr>
      <w:tr w14:paraId="08F2E19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7" w:hRule="atLeast"/>
          <w:jc w:val="center"/>
        </w:trPr>
        <w:tc>
          <w:tcPr>
            <w:tcW w:w="693" w:type="dxa"/>
            <w:shd w:val="clear" w:color="auto" w:fill="auto"/>
            <w:vAlign w:val="center"/>
          </w:tcPr>
          <w:p w14:paraId="5664C048">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p>
        </w:tc>
        <w:tc>
          <w:tcPr>
            <w:tcW w:w="930" w:type="dxa"/>
            <w:shd w:val="clear" w:color="auto" w:fill="auto"/>
            <w:vAlign w:val="center"/>
          </w:tcPr>
          <w:p w14:paraId="1D02A6E4">
            <w:pPr>
              <w:pStyle w:val="2"/>
              <w:jc w:val="center"/>
              <w:rPr>
                <w:rFonts w:hint="default" w:eastAsia="宋体"/>
                <w:color w:val="000000" w:themeColor="text1"/>
                <w:kern w:val="0"/>
                <w:sz w:val="18"/>
                <w:szCs w:val="18"/>
                <w:lang w:val="en-US" w:eastAsia="zh-CN"/>
              </w:rPr>
            </w:pPr>
            <w:r>
              <w:rPr>
                <w:rFonts w:hint="eastAsia"/>
                <w:color w:val="000000" w:themeColor="text1"/>
                <w:kern w:val="0"/>
                <w:sz w:val="18"/>
                <w:szCs w:val="18"/>
                <w:lang w:val="en-US" w:eastAsia="zh-CN"/>
              </w:rPr>
              <w:t>财务管理基础</w:t>
            </w:r>
          </w:p>
        </w:tc>
        <w:tc>
          <w:tcPr>
            <w:tcW w:w="2050" w:type="dxa"/>
            <w:shd w:val="clear" w:color="auto" w:fill="auto"/>
            <w:vAlign w:val="center"/>
          </w:tcPr>
          <w:p w14:paraId="4D56FF9C">
            <w:pPr>
              <w:pStyle w:val="2"/>
              <w:jc w:val="left"/>
              <w:rPr>
                <w:rFonts w:hint="eastAsia"/>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lang w:val="en-US" w:eastAsia="zh-CN"/>
              </w:rPr>
              <w:t xml:space="preserve"> 财务管理认知</w:t>
            </w:r>
          </w:p>
          <w:p w14:paraId="1F1A5F95">
            <w:pPr>
              <w:pStyle w:val="2"/>
              <w:jc w:val="left"/>
              <w:rPr>
                <w:rFonts w:hint="eastAsia"/>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lang w:val="en-US" w:eastAsia="zh-CN"/>
              </w:rPr>
              <w:t xml:space="preserve"> 财务管理价值观念</w:t>
            </w:r>
          </w:p>
          <w:p w14:paraId="22E3C7DB">
            <w:pPr>
              <w:pStyle w:val="2"/>
              <w:jc w:val="left"/>
              <w:rPr>
                <w:rFonts w:hint="eastAsia"/>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lang w:val="en-US" w:eastAsia="zh-CN"/>
              </w:rPr>
              <w:t xml:space="preserve"> 投资管理</w:t>
            </w:r>
          </w:p>
          <w:p w14:paraId="3B27036D">
            <w:pPr>
              <w:pStyle w:val="2"/>
              <w:jc w:val="left"/>
              <w:rPr>
                <w:rFonts w:hint="eastAsia"/>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lang w:val="en-US" w:eastAsia="zh-CN"/>
              </w:rPr>
              <w:t xml:space="preserve"> 筹资管理</w:t>
            </w:r>
          </w:p>
          <w:p w14:paraId="365E1E71">
            <w:pPr>
              <w:pStyle w:val="2"/>
              <w:jc w:val="left"/>
              <w:rPr>
                <w:rFonts w:hint="eastAsia"/>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 xml:space="preserve"> 营运资金管理</w:t>
            </w:r>
          </w:p>
          <w:p w14:paraId="5AE746D0">
            <w:pPr>
              <w:pStyle w:val="2"/>
              <w:jc w:val="left"/>
              <w:rPr>
                <w:rFonts w:hint="default"/>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lang w:val="en-US" w:eastAsia="zh-CN"/>
              </w:rPr>
              <w:t>-</w:t>
            </w: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lang w:val="en-US" w:eastAsia="zh-CN"/>
              </w:rPr>
              <w:t xml:space="preserve"> 利润分配管理</w:t>
            </w:r>
          </w:p>
        </w:tc>
        <w:tc>
          <w:tcPr>
            <w:tcW w:w="3034" w:type="dxa"/>
            <w:shd w:val="clear" w:color="auto" w:fill="auto"/>
            <w:vAlign w:val="center"/>
          </w:tcPr>
          <w:p w14:paraId="7624F0E2">
            <w:pPr>
              <w:adjustRightInd w:val="0"/>
              <w:ind w:firstLine="360" w:firstLineChars="200"/>
              <w:jc w:val="left"/>
              <w:rPr>
                <w:rFonts w:hint="default"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主要内容：本课程主要涵盖了财务管理的基本理论和实践技巧。通过本课程的学习，学生将学习到财务管理的重要概念、原则和方法，以及如何运用这些知识来进行企业的财务决策和管理。</w:t>
            </w:r>
          </w:p>
          <w:p w14:paraId="1B386C9E">
            <w:pPr>
              <w:pStyle w:val="6"/>
              <w:ind w:firstLine="360" w:firstLineChars="200"/>
              <w:rPr>
                <w:rFonts w:hint="default"/>
                <w:lang w:val="en-US" w:eastAsia="zh-CN"/>
              </w:rPr>
            </w:pPr>
            <w:r>
              <w:rPr>
                <w:rFonts w:hint="eastAsia" w:cs="宋体"/>
                <w:color w:val="000000" w:themeColor="text1"/>
                <w:sz w:val="18"/>
                <w:szCs w:val="18"/>
                <w:lang w:val="en-US" w:eastAsia="zh-CN"/>
              </w:rPr>
              <w:t>教学要求：掌握财务管理的基本理论和基本方法，具备投资决策、筹资决策、利润分析决策的基本技能。培养学生学以致用的能力。</w:t>
            </w:r>
          </w:p>
        </w:tc>
        <w:tc>
          <w:tcPr>
            <w:tcW w:w="1380" w:type="dxa"/>
            <w:shd w:val="clear" w:color="auto" w:fill="auto"/>
            <w:vAlign w:val="center"/>
          </w:tcPr>
          <w:p w14:paraId="5035BBEC">
            <w:pPr>
              <w:pStyle w:val="2"/>
              <w:jc w:val="center"/>
              <w:rPr>
                <w:rFonts w:hint="eastAsia"/>
                <w:color w:val="000000" w:themeColor="text1"/>
                <w:kern w:val="0"/>
                <w:sz w:val="18"/>
                <w:szCs w:val="18"/>
                <w:lang w:val="en-US" w:eastAsia="zh-CN"/>
              </w:rPr>
            </w:pPr>
            <w:r>
              <w:rPr>
                <w:rFonts w:hint="eastAsia"/>
                <w:color w:val="000000" w:themeColor="text1"/>
                <w:kern w:val="0"/>
                <w:sz w:val="18"/>
                <w:szCs w:val="18"/>
                <w:lang w:val="en-US" w:eastAsia="zh-CN"/>
              </w:rPr>
              <w:t>诚信意识</w:t>
            </w:r>
          </w:p>
          <w:p w14:paraId="0A7B3611">
            <w:pPr>
              <w:pStyle w:val="2"/>
              <w:jc w:val="center"/>
              <w:rPr>
                <w:rFonts w:hint="eastAsia"/>
                <w:color w:val="000000" w:themeColor="text1"/>
                <w:kern w:val="0"/>
                <w:sz w:val="18"/>
                <w:szCs w:val="18"/>
                <w:lang w:val="en-US" w:eastAsia="zh-CN"/>
              </w:rPr>
            </w:pPr>
            <w:r>
              <w:rPr>
                <w:rFonts w:hint="eastAsia"/>
                <w:color w:val="000000" w:themeColor="text1"/>
                <w:kern w:val="0"/>
                <w:sz w:val="18"/>
                <w:szCs w:val="18"/>
                <w:lang w:val="en-US" w:eastAsia="zh-CN"/>
              </w:rPr>
              <w:t>风险意识</w:t>
            </w:r>
          </w:p>
          <w:p w14:paraId="5A6B7ABD">
            <w:pPr>
              <w:pStyle w:val="2"/>
              <w:jc w:val="center"/>
              <w:rPr>
                <w:rFonts w:hint="default"/>
                <w:color w:val="000000" w:themeColor="text1"/>
                <w:kern w:val="0"/>
                <w:sz w:val="18"/>
                <w:szCs w:val="18"/>
                <w:lang w:val="en-US" w:eastAsia="zh-CN"/>
              </w:rPr>
            </w:pPr>
            <w:r>
              <w:rPr>
                <w:rFonts w:hint="eastAsia"/>
                <w:color w:val="000000" w:themeColor="text1"/>
                <w:kern w:val="0"/>
                <w:sz w:val="18"/>
                <w:szCs w:val="18"/>
                <w:lang w:val="en-US" w:eastAsia="zh-CN"/>
              </w:rPr>
              <w:t>信用意识</w:t>
            </w:r>
          </w:p>
        </w:tc>
        <w:tc>
          <w:tcPr>
            <w:tcW w:w="720" w:type="dxa"/>
            <w:shd w:val="clear" w:color="auto" w:fill="auto"/>
            <w:vAlign w:val="center"/>
          </w:tcPr>
          <w:p w14:paraId="75D36A99">
            <w:pPr>
              <w:pStyle w:val="2"/>
              <w:jc w:val="center"/>
              <w:rPr>
                <w:rFonts w:hint="eastAsia"/>
                <w:color w:val="000000" w:themeColor="text1"/>
                <w:kern w:val="0"/>
                <w:sz w:val="18"/>
                <w:szCs w:val="18"/>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64</w:t>
            </w:r>
          </w:p>
        </w:tc>
      </w:tr>
      <w:tr w14:paraId="7601BD5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17" w:hRule="atLeast"/>
          <w:jc w:val="center"/>
        </w:trPr>
        <w:tc>
          <w:tcPr>
            <w:tcW w:w="693" w:type="dxa"/>
            <w:shd w:val="clear" w:color="auto" w:fill="auto"/>
            <w:vAlign w:val="center"/>
          </w:tcPr>
          <w:p w14:paraId="094202DC">
            <w:pPr>
              <w:pStyle w:val="2"/>
              <w:jc w:val="center"/>
              <w:rPr>
                <w:rFonts w:hint="eastAsia" w:eastAsia="宋体"/>
                <w:color w:val="000000" w:themeColor="text1"/>
                <w:kern w:val="0"/>
                <w:sz w:val="18"/>
                <w:szCs w:val="18"/>
                <w:lang w:eastAsia="zh-CN"/>
              </w:rPr>
            </w:pPr>
            <w:r>
              <w:rPr>
                <w:rFonts w:hint="default" w:ascii="Times New Roman" w:hAnsi="Times New Roman" w:cs="Times New Roman"/>
                <w:color w:val="000000" w:themeColor="text1"/>
                <w:kern w:val="0"/>
                <w:sz w:val="18"/>
                <w:szCs w:val="18"/>
                <w:lang w:val="en-US" w:eastAsia="zh-CN"/>
              </w:rPr>
              <w:t>6</w:t>
            </w:r>
          </w:p>
        </w:tc>
        <w:tc>
          <w:tcPr>
            <w:tcW w:w="930" w:type="dxa"/>
            <w:shd w:val="clear" w:color="auto" w:fill="auto"/>
            <w:vAlign w:val="center"/>
          </w:tcPr>
          <w:p w14:paraId="147A96EC">
            <w:pPr>
              <w:pStyle w:val="2"/>
              <w:jc w:val="center"/>
              <w:rPr>
                <w:color w:val="000000" w:themeColor="text1"/>
                <w:kern w:val="0"/>
                <w:sz w:val="18"/>
                <w:szCs w:val="18"/>
              </w:rPr>
            </w:pPr>
            <w:r>
              <w:rPr>
                <w:rFonts w:hint="eastAsia"/>
                <w:color w:val="000000" w:themeColor="text1"/>
                <w:kern w:val="0"/>
                <w:sz w:val="18"/>
                <w:szCs w:val="18"/>
              </w:rPr>
              <w:t>个人理财</w:t>
            </w:r>
          </w:p>
        </w:tc>
        <w:tc>
          <w:tcPr>
            <w:tcW w:w="2050" w:type="dxa"/>
            <w:shd w:val="clear" w:color="auto" w:fill="auto"/>
            <w:vAlign w:val="center"/>
          </w:tcPr>
          <w:p w14:paraId="409124E6">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认知个人理财</w:t>
            </w:r>
          </w:p>
          <w:p w14:paraId="200238C3">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现金与消费理财</w:t>
            </w:r>
          </w:p>
          <w:p w14:paraId="33AB772D">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股票投资理财</w:t>
            </w:r>
          </w:p>
          <w:p w14:paraId="45A8519A">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债券投资理财</w:t>
            </w:r>
          </w:p>
          <w:p w14:paraId="1E827DE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基金投资理财</w:t>
            </w:r>
          </w:p>
          <w:p w14:paraId="5D07F843">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保险投资理财</w:t>
            </w:r>
          </w:p>
          <w:p w14:paraId="789387CF">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 xml:space="preserve"> 综合理财规划</w:t>
            </w:r>
          </w:p>
        </w:tc>
        <w:tc>
          <w:tcPr>
            <w:tcW w:w="3034" w:type="dxa"/>
            <w:shd w:val="clear" w:color="auto" w:fill="auto"/>
            <w:vAlign w:val="center"/>
          </w:tcPr>
          <w:p w14:paraId="64C84F34">
            <w:pPr>
              <w:adjustRightInd w:val="0"/>
              <w:ind w:firstLine="360" w:firstLineChars="200"/>
              <w:jc w:val="left"/>
              <w:rPr>
                <w:rFonts w:ascii="宋体" w:hAnsi="宋体" w:cs="宋体"/>
                <w:color w:val="000000" w:themeColor="text1"/>
                <w:sz w:val="18"/>
                <w:szCs w:val="18"/>
              </w:rPr>
            </w:pPr>
            <w:r>
              <w:rPr>
                <w:rFonts w:hint="eastAsia" w:ascii="宋体" w:hAnsi="宋体" w:cs="宋体"/>
                <w:color w:val="000000" w:themeColor="text1"/>
                <w:sz w:val="18"/>
                <w:szCs w:val="18"/>
              </w:rPr>
              <w:t>主要内容：本课程主要探讨个人如何更好地通过投资理财活动让财富不断增加。课程涉及个人理财基础、个人理财技能、综合理财应用三方面的知识。通过对个人理财的知识、技巧和方法进行深入浅出的讲解，建立起一个完整的理财框架体系。</w:t>
            </w:r>
          </w:p>
          <w:p w14:paraId="2A858906">
            <w:pPr>
              <w:adjustRightInd w:val="0"/>
              <w:ind w:firstLine="360" w:firstLineChars="200"/>
              <w:jc w:val="left"/>
              <w:rPr>
                <w:rFonts w:ascii="宋体" w:hAnsi="宋体" w:cs="宋体"/>
                <w:color w:val="000000" w:themeColor="text1"/>
                <w:sz w:val="18"/>
                <w:szCs w:val="18"/>
              </w:rPr>
            </w:pPr>
            <w:r>
              <w:rPr>
                <w:rFonts w:hint="eastAsia" w:ascii="宋体" w:hAnsi="宋体" w:cs="宋体"/>
                <w:color w:val="000000" w:themeColor="text1"/>
                <w:sz w:val="18"/>
                <w:szCs w:val="18"/>
              </w:rPr>
              <w:t>教学要求：突出对学生职业能力的培养和职业素质的养成，注重实践教学环节，强化实践技能训练。</w:t>
            </w:r>
          </w:p>
        </w:tc>
        <w:tc>
          <w:tcPr>
            <w:tcW w:w="1380" w:type="dxa"/>
            <w:shd w:val="clear" w:color="auto" w:fill="auto"/>
            <w:vAlign w:val="center"/>
          </w:tcPr>
          <w:p w14:paraId="46148CFA">
            <w:pPr>
              <w:pStyle w:val="2"/>
              <w:jc w:val="center"/>
              <w:rPr>
                <w:color w:val="000000" w:themeColor="text1"/>
                <w:kern w:val="0"/>
                <w:sz w:val="18"/>
                <w:szCs w:val="18"/>
              </w:rPr>
            </w:pPr>
            <w:r>
              <w:rPr>
                <w:rFonts w:hint="eastAsia"/>
                <w:color w:val="000000" w:themeColor="text1"/>
                <w:kern w:val="0"/>
                <w:sz w:val="18"/>
                <w:szCs w:val="18"/>
              </w:rPr>
              <w:t>风险意识</w:t>
            </w:r>
          </w:p>
          <w:p w14:paraId="7CFDDAE8">
            <w:pPr>
              <w:pStyle w:val="2"/>
              <w:jc w:val="center"/>
              <w:rPr>
                <w:color w:val="000000" w:themeColor="text1"/>
                <w:kern w:val="0"/>
                <w:sz w:val="18"/>
                <w:szCs w:val="18"/>
              </w:rPr>
            </w:pPr>
            <w:r>
              <w:rPr>
                <w:rFonts w:hint="eastAsia"/>
                <w:color w:val="000000" w:themeColor="text1"/>
                <w:kern w:val="0"/>
                <w:sz w:val="18"/>
                <w:szCs w:val="18"/>
              </w:rPr>
              <w:t>法律意识</w:t>
            </w:r>
          </w:p>
          <w:p w14:paraId="1AECDB1D">
            <w:pPr>
              <w:pStyle w:val="2"/>
              <w:jc w:val="center"/>
              <w:rPr>
                <w:color w:val="000000" w:themeColor="text1"/>
                <w:kern w:val="0"/>
                <w:sz w:val="18"/>
                <w:szCs w:val="18"/>
              </w:rPr>
            </w:pPr>
            <w:r>
              <w:rPr>
                <w:rFonts w:hint="eastAsia"/>
                <w:color w:val="000000" w:themeColor="text1"/>
                <w:kern w:val="0"/>
                <w:sz w:val="18"/>
                <w:szCs w:val="18"/>
              </w:rPr>
              <w:t>合规意识</w:t>
            </w:r>
          </w:p>
        </w:tc>
        <w:tc>
          <w:tcPr>
            <w:tcW w:w="720" w:type="dxa"/>
            <w:shd w:val="clear" w:color="auto" w:fill="auto"/>
            <w:vAlign w:val="center"/>
          </w:tcPr>
          <w:p w14:paraId="0D995353">
            <w:pPr>
              <w:pStyle w:val="2"/>
              <w:jc w:val="center"/>
              <w:rPr>
                <w:rFonts w:hint="default"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lang w:val="en-US" w:eastAsia="zh-CN"/>
              </w:rPr>
              <w:t>56</w:t>
            </w:r>
          </w:p>
        </w:tc>
      </w:tr>
    </w:tbl>
    <w:p w14:paraId="20660698">
      <w:pPr>
        <w:spacing w:line="400" w:lineRule="atLeast"/>
        <w:ind w:firstLine="420" w:firstLineChars="200"/>
        <w:jc w:val="left"/>
        <w:rPr>
          <w:rFonts w:eastAsia="仿宋_GB2312"/>
          <w:i/>
          <w:iCs/>
          <w:color w:val="0000FF"/>
          <w:kern w:val="0"/>
          <w:sz w:val="18"/>
          <w:szCs w:val="18"/>
        </w:rPr>
      </w:pPr>
      <w:r>
        <w:rPr>
          <w:rFonts w:hint="default" w:ascii="Times New Roman" w:hAnsi="Times New Roman" w:cs="Times New Roman"/>
          <w:color w:val="000000"/>
          <w:kern w:val="0"/>
          <w:szCs w:val="21"/>
        </w:rPr>
        <w:t>2</w:t>
      </w:r>
      <w:r>
        <w:rPr>
          <w:color w:val="000000"/>
          <w:kern w:val="0"/>
          <w:szCs w:val="21"/>
        </w:rPr>
        <w:t>.专业核心课主要教学内容与要求</w:t>
      </w:r>
    </w:p>
    <w:p w14:paraId="28B1F201">
      <w:pPr>
        <w:pStyle w:val="5"/>
        <w:keepNext/>
        <w:spacing w:line="240" w:lineRule="auto"/>
        <w:jc w:val="center"/>
        <w:rPr>
          <w:rFonts w:ascii="Times New Roman" w:hAnsi="Times New Roman" w:eastAsia="宋体"/>
          <w:b/>
          <w:bCs/>
          <w:color w:val="000000"/>
          <w:sz w:val="18"/>
          <w:szCs w:val="18"/>
        </w:rPr>
      </w:pPr>
      <w:r>
        <w:rPr>
          <w:rFonts w:ascii="Times New Roman" w:hAnsi="Times New Roman" w:eastAsia="宋体"/>
          <w:b/>
          <w:bCs/>
          <w:color w:val="000000"/>
          <w:sz w:val="18"/>
          <w:szCs w:val="18"/>
        </w:rPr>
        <w:t xml:space="preserve">表 </w:t>
      </w:r>
      <w:r>
        <w:rPr>
          <w:rFonts w:hint="default" w:ascii="Times New Roman" w:hAnsi="Times New Roman" w:eastAsia="宋体" w:cs="Times New Roman"/>
          <w:b/>
          <w:bCs/>
          <w:color w:val="000000"/>
          <w:sz w:val="18"/>
          <w:szCs w:val="18"/>
        </w:rPr>
        <w:fldChar w:fldCharType="begin"/>
      </w:r>
      <w:r>
        <w:rPr>
          <w:rFonts w:hint="default" w:ascii="Times New Roman" w:hAnsi="Times New Roman" w:eastAsia="宋体" w:cs="Times New Roman"/>
          <w:b/>
          <w:bCs/>
          <w:color w:val="000000"/>
          <w:sz w:val="18"/>
          <w:szCs w:val="18"/>
        </w:rPr>
        <w:instrText xml:space="preserve"> SEQ 表 \* ARABIC </w:instrText>
      </w:r>
      <w:r>
        <w:rPr>
          <w:rFonts w:hint="default" w:ascii="Times New Roman" w:hAnsi="Times New Roman" w:eastAsia="宋体" w:cs="Times New Roman"/>
          <w:b/>
          <w:bCs/>
          <w:color w:val="000000"/>
          <w:sz w:val="18"/>
          <w:szCs w:val="18"/>
        </w:rPr>
        <w:fldChar w:fldCharType="separate"/>
      </w:r>
      <w:r>
        <w:rPr>
          <w:rFonts w:hint="default" w:ascii="Times New Roman" w:hAnsi="Times New Roman" w:eastAsia="宋体" w:cs="Times New Roman"/>
          <w:b/>
          <w:bCs/>
          <w:color w:val="000000"/>
          <w:sz w:val="18"/>
          <w:szCs w:val="18"/>
        </w:rPr>
        <w:t>6</w:t>
      </w:r>
      <w:r>
        <w:rPr>
          <w:rFonts w:hint="default" w:ascii="Times New Roman" w:hAnsi="Times New Roman" w:eastAsia="宋体" w:cs="Times New Roman"/>
          <w:b/>
          <w:bCs/>
          <w:color w:val="000000"/>
          <w:sz w:val="18"/>
          <w:szCs w:val="18"/>
        </w:rPr>
        <w:fldChar w:fldCharType="end"/>
      </w:r>
      <w:r>
        <w:rPr>
          <w:rFonts w:ascii="Times New Roman" w:hAnsi="Times New Roman" w:eastAsia="宋体"/>
          <w:b/>
          <w:bCs/>
          <w:color w:val="000000"/>
          <w:sz w:val="18"/>
          <w:szCs w:val="18"/>
        </w:rPr>
        <w:t xml:space="preserve"> 专业核心课主要教学内容与要求</w:t>
      </w:r>
    </w:p>
    <w:tbl>
      <w:tblPr>
        <w:tblStyle w:val="13"/>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6"/>
        <w:gridCol w:w="940"/>
        <w:gridCol w:w="2218"/>
        <w:gridCol w:w="2932"/>
        <w:gridCol w:w="1376"/>
        <w:gridCol w:w="691"/>
      </w:tblGrid>
      <w:tr w14:paraId="54AA7C0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716" w:type="dxa"/>
            <w:shd w:val="clear" w:color="auto" w:fill="auto"/>
            <w:vAlign w:val="center"/>
          </w:tcPr>
          <w:p w14:paraId="398E472A">
            <w:pPr>
              <w:pStyle w:val="2"/>
              <w:jc w:val="center"/>
              <w:rPr>
                <w:color w:val="000000"/>
                <w:kern w:val="0"/>
                <w:sz w:val="18"/>
                <w:szCs w:val="18"/>
              </w:rPr>
            </w:pPr>
            <w:r>
              <w:rPr>
                <w:color w:val="000000"/>
                <w:kern w:val="0"/>
                <w:sz w:val="18"/>
                <w:szCs w:val="18"/>
              </w:rPr>
              <w:t>序号</w:t>
            </w:r>
          </w:p>
        </w:tc>
        <w:tc>
          <w:tcPr>
            <w:tcW w:w="940" w:type="dxa"/>
            <w:shd w:val="clear" w:color="auto" w:fill="auto"/>
            <w:vAlign w:val="center"/>
          </w:tcPr>
          <w:p w14:paraId="6EA07B5C">
            <w:pPr>
              <w:pStyle w:val="2"/>
              <w:jc w:val="center"/>
              <w:rPr>
                <w:color w:val="000000"/>
                <w:kern w:val="0"/>
                <w:sz w:val="18"/>
                <w:szCs w:val="18"/>
              </w:rPr>
            </w:pPr>
            <w:r>
              <w:rPr>
                <w:color w:val="000000"/>
                <w:kern w:val="0"/>
                <w:sz w:val="18"/>
                <w:szCs w:val="18"/>
              </w:rPr>
              <w:t>课程名称</w:t>
            </w:r>
          </w:p>
        </w:tc>
        <w:tc>
          <w:tcPr>
            <w:tcW w:w="2218" w:type="dxa"/>
            <w:shd w:val="clear" w:color="auto" w:fill="auto"/>
            <w:vAlign w:val="center"/>
          </w:tcPr>
          <w:p w14:paraId="6405B2F2">
            <w:pPr>
              <w:pStyle w:val="2"/>
              <w:jc w:val="center"/>
              <w:rPr>
                <w:color w:val="000000"/>
                <w:kern w:val="0"/>
                <w:sz w:val="18"/>
                <w:szCs w:val="18"/>
              </w:rPr>
            </w:pPr>
            <w:r>
              <w:rPr>
                <w:color w:val="000000"/>
                <w:kern w:val="0"/>
                <w:sz w:val="18"/>
                <w:szCs w:val="18"/>
              </w:rPr>
              <w:t>典型工作任务描述</w:t>
            </w:r>
          </w:p>
        </w:tc>
        <w:tc>
          <w:tcPr>
            <w:tcW w:w="2932" w:type="dxa"/>
            <w:shd w:val="clear" w:color="auto" w:fill="auto"/>
            <w:vAlign w:val="center"/>
          </w:tcPr>
          <w:p w14:paraId="3D40269B">
            <w:pPr>
              <w:pStyle w:val="2"/>
              <w:jc w:val="center"/>
              <w:rPr>
                <w:color w:val="000000"/>
                <w:kern w:val="0"/>
                <w:sz w:val="18"/>
                <w:szCs w:val="18"/>
              </w:rPr>
            </w:pPr>
            <w:r>
              <w:rPr>
                <w:color w:val="000000"/>
                <w:kern w:val="0"/>
                <w:sz w:val="18"/>
                <w:szCs w:val="18"/>
              </w:rPr>
              <w:t>主要教学内容与要求</w:t>
            </w:r>
          </w:p>
        </w:tc>
        <w:tc>
          <w:tcPr>
            <w:tcW w:w="1376" w:type="dxa"/>
            <w:shd w:val="clear" w:color="auto" w:fill="auto"/>
            <w:vAlign w:val="center"/>
          </w:tcPr>
          <w:p w14:paraId="7F35A7E0">
            <w:pPr>
              <w:pStyle w:val="2"/>
              <w:jc w:val="center"/>
              <w:rPr>
                <w:color w:val="000000"/>
                <w:kern w:val="0"/>
                <w:sz w:val="18"/>
                <w:szCs w:val="18"/>
              </w:rPr>
            </w:pPr>
            <w:r>
              <w:rPr>
                <w:color w:val="000000"/>
                <w:kern w:val="0"/>
                <w:sz w:val="18"/>
                <w:szCs w:val="18"/>
              </w:rPr>
              <w:t>课程思政育人</w:t>
            </w:r>
          </w:p>
        </w:tc>
        <w:tc>
          <w:tcPr>
            <w:tcW w:w="691" w:type="dxa"/>
            <w:shd w:val="clear" w:color="auto" w:fill="auto"/>
          </w:tcPr>
          <w:p w14:paraId="6D554CE7">
            <w:pPr>
              <w:pStyle w:val="2"/>
              <w:jc w:val="center"/>
              <w:rPr>
                <w:color w:val="000000"/>
                <w:kern w:val="0"/>
                <w:sz w:val="18"/>
                <w:szCs w:val="18"/>
              </w:rPr>
            </w:pPr>
            <w:r>
              <w:rPr>
                <w:color w:val="000000"/>
                <w:sz w:val="18"/>
                <w:szCs w:val="18"/>
              </w:rPr>
              <w:t>学分/学时</w:t>
            </w:r>
          </w:p>
        </w:tc>
      </w:tr>
      <w:tr w14:paraId="21078B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2B16086C">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1</w:t>
            </w:r>
          </w:p>
        </w:tc>
        <w:tc>
          <w:tcPr>
            <w:tcW w:w="940" w:type="dxa"/>
            <w:tcBorders>
              <w:bottom w:val="single" w:color="auto" w:sz="4" w:space="0"/>
            </w:tcBorders>
            <w:shd w:val="clear" w:color="auto" w:fill="auto"/>
            <w:vAlign w:val="center"/>
          </w:tcPr>
          <w:p w14:paraId="36C6275C">
            <w:pPr>
              <w:pStyle w:val="2"/>
              <w:jc w:val="center"/>
              <w:rPr>
                <w:rFonts w:hint="eastAsia"/>
                <w:color w:val="000000" w:themeColor="text1"/>
                <w:kern w:val="0"/>
                <w:sz w:val="18"/>
                <w:szCs w:val="18"/>
              </w:rPr>
            </w:pPr>
            <w:r>
              <w:rPr>
                <w:rFonts w:hint="eastAsia"/>
                <w:color w:val="000000" w:themeColor="text1"/>
                <w:kern w:val="0"/>
                <w:sz w:val="18"/>
                <w:szCs w:val="18"/>
              </w:rPr>
              <w:t>业财一体信息系统应用</w:t>
            </w:r>
          </w:p>
        </w:tc>
        <w:tc>
          <w:tcPr>
            <w:tcW w:w="2218" w:type="dxa"/>
            <w:tcBorders>
              <w:bottom w:val="single" w:color="auto" w:sz="4" w:space="0"/>
            </w:tcBorders>
            <w:shd w:val="clear" w:color="auto" w:fill="auto"/>
            <w:vAlign w:val="center"/>
          </w:tcPr>
          <w:p w14:paraId="058BA363">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认知会计信息系统</w:t>
            </w:r>
          </w:p>
          <w:p w14:paraId="21C743FF">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会计主系统管理</w:t>
            </w:r>
          </w:p>
          <w:p w14:paraId="79947279">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基本信息和基础档案设置</w:t>
            </w:r>
          </w:p>
          <w:p w14:paraId="64C34C2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总账管理子系统应用</w:t>
            </w:r>
          </w:p>
          <w:p w14:paraId="4CC56579">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薪资管理子系统应用</w:t>
            </w:r>
          </w:p>
          <w:p w14:paraId="74BB606A">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固定资产管理子系统应用</w:t>
            </w:r>
          </w:p>
          <w:p w14:paraId="0DC34747">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 xml:space="preserve"> 应收款管理子系统应用</w:t>
            </w:r>
          </w:p>
          <w:p w14:paraId="0EB8427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8</w:t>
            </w:r>
            <w:r>
              <w:rPr>
                <w:rFonts w:hint="eastAsia"/>
                <w:color w:val="000000" w:themeColor="text1"/>
                <w:kern w:val="0"/>
                <w:sz w:val="18"/>
                <w:szCs w:val="18"/>
              </w:rPr>
              <w:t xml:space="preserve"> 应付款管理子系统应用</w:t>
            </w:r>
          </w:p>
          <w:p w14:paraId="47F20DAE">
            <w:pPr>
              <w:pStyle w:val="2"/>
              <w:jc w:val="left"/>
              <w:rPr>
                <w:rFonts w:hint="eastAsia"/>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1</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9</w:t>
            </w:r>
            <w:r>
              <w:rPr>
                <w:rFonts w:hint="eastAsia"/>
                <w:color w:val="000000" w:themeColor="text1"/>
                <w:kern w:val="0"/>
                <w:sz w:val="18"/>
                <w:szCs w:val="18"/>
              </w:rPr>
              <w:t>期末处理和报表管理子系统应用</w:t>
            </w:r>
          </w:p>
        </w:tc>
        <w:tc>
          <w:tcPr>
            <w:tcW w:w="2932" w:type="dxa"/>
            <w:tcBorders>
              <w:bottom w:val="single" w:color="auto" w:sz="4" w:space="0"/>
            </w:tcBorders>
            <w:shd w:val="clear" w:color="auto" w:fill="auto"/>
            <w:vAlign w:val="center"/>
          </w:tcPr>
          <w:p w14:paraId="2F2BE39C">
            <w:pPr>
              <w:adjustRightInd w:val="0"/>
              <w:ind w:firstLine="360" w:firstLineChars="200"/>
              <w:rPr>
                <w:rFonts w:ascii="宋体" w:hAnsi="宋体" w:cs="宋体"/>
                <w:sz w:val="18"/>
                <w:szCs w:val="18"/>
              </w:rPr>
            </w:pPr>
            <w:r>
              <w:rPr>
                <w:rFonts w:hint="eastAsia" w:ascii="宋体" w:hAnsi="宋体" w:cs="宋体"/>
                <w:sz w:val="18"/>
                <w:szCs w:val="18"/>
              </w:rPr>
              <w:t>主要内容：认识通用财务软件（用友</w:t>
            </w:r>
            <w:r>
              <w:rPr>
                <w:rFonts w:hint="default" w:ascii="Times New Roman" w:hAnsi="Times New Roman" w:cs="Times New Roman"/>
                <w:sz w:val="18"/>
                <w:szCs w:val="18"/>
              </w:rPr>
              <w:t>ERP</w:t>
            </w:r>
            <w:r>
              <w:rPr>
                <w:rFonts w:hint="eastAsia" w:ascii="宋体" w:hAnsi="宋体" w:cs="宋体"/>
                <w:sz w:val="18"/>
                <w:szCs w:val="18"/>
              </w:rPr>
              <w:t>-</w:t>
            </w:r>
            <w:r>
              <w:rPr>
                <w:rFonts w:hint="default" w:ascii="Times New Roman" w:hAnsi="Times New Roman" w:cs="Times New Roman"/>
                <w:sz w:val="18"/>
                <w:szCs w:val="18"/>
              </w:rPr>
              <w:t>U8</w:t>
            </w:r>
            <w:r>
              <w:rPr>
                <w:rFonts w:hint="eastAsia" w:ascii="宋体" w:hAnsi="宋体" w:cs="宋体"/>
                <w:sz w:val="18"/>
                <w:szCs w:val="18"/>
              </w:rPr>
              <w:t>软件）的基本模块以及各模块的主要操作方法，运用软件核心功能对账务处理、辅助核算、应收应付款项、固定资产、薪资以及期末事项进行系列化操作，运用自定义报表功能生存与输出财务成果数据。</w:t>
            </w:r>
          </w:p>
          <w:p w14:paraId="0EE12D66">
            <w:pPr>
              <w:adjustRightInd w:val="0"/>
              <w:ind w:firstLine="360" w:firstLineChars="200"/>
              <w:rPr>
                <w:rFonts w:hint="eastAsia" w:cs="宋体"/>
                <w:color w:val="000000" w:themeColor="text1"/>
                <w:sz w:val="18"/>
                <w:szCs w:val="18"/>
              </w:rPr>
            </w:pPr>
            <w:r>
              <w:rPr>
                <w:rFonts w:hint="eastAsia" w:ascii="宋体" w:hAnsi="宋体" w:cs="宋体"/>
                <w:sz w:val="18"/>
                <w:szCs w:val="18"/>
              </w:rPr>
              <w:t>教学要求：了解财务软件的主要功能与结构，掌握企业信息化实施的基本程序和方法；掌握财务软件各主要功能模块运行的基本原理和应用技术。</w:t>
            </w:r>
          </w:p>
        </w:tc>
        <w:tc>
          <w:tcPr>
            <w:tcW w:w="1376" w:type="dxa"/>
            <w:tcBorders>
              <w:bottom w:val="single" w:color="auto" w:sz="4" w:space="0"/>
            </w:tcBorders>
            <w:shd w:val="clear" w:color="auto" w:fill="auto"/>
            <w:vAlign w:val="center"/>
          </w:tcPr>
          <w:p w14:paraId="3D211BA3">
            <w:pPr>
              <w:pStyle w:val="2"/>
              <w:jc w:val="center"/>
              <w:rPr>
                <w:color w:val="000000" w:themeColor="text1"/>
                <w:kern w:val="0"/>
                <w:sz w:val="18"/>
                <w:szCs w:val="18"/>
              </w:rPr>
            </w:pPr>
            <w:r>
              <w:rPr>
                <w:rFonts w:hint="eastAsia"/>
                <w:color w:val="000000" w:themeColor="text1"/>
                <w:kern w:val="0"/>
                <w:sz w:val="18"/>
                <w:szCs w:val="18"/>
              </w:rPr>
              <w:t>科技能力</w:t>
            </w:r>
          </w:p>
          <w:p w14:paraId="6B07161D">
            <w:pPr>
              <w:pStyle w:val="2"/>
              <w:jc w:val="center"/>
              <w:rPr>
                <w:color w:val="000000" w:themeColor="text1"/>
                <w:kern w:val="0"/>
                <w:sz w:val="18"/>
                <w:szCs w:val="18"/>
              </w:rPr>
            </w:pPr>
            <w:r>
              <w:rPr>
                <w:rFonts w:hint="eastAsia"/>
                <w:color w:val="000000" w:themeColor="text1"/>
                <w:kern w:val="0"/>
                <w:sz w:val="18"/>
                <w:szCs w:val="18"/>
              </w:rPr>
              <w:t>流程思维</w:t>
            </w:r>
          </w:p>
          <w:p w14:paraId="3FAF06E9">
            <w:pPr>
              <w:pStyle w:val="2"/>
              <w:jc w:val="center"/>
              <w:rPr>
                <w:color w:val="000000" w:themeColor="text1"/>
                <w:kern w:val="0"/>
                <w:sz w:val="18"/>
                <w:szCs w:val="18"/>
              </w:rPr>
            </w:pPr>
            <w:r>
              <w:rPr>
                <w:rFonts w:hint="eastAsia"/>
                <w:color w:val="000000" w:themeColor="text1"/>
                <w:kern w:val="0"/>
                <w:sz w:val="18"/>
                <w:szCs w:val="18"/>
              </w:rPr>
              <w:t>制度自信</w:t>
            </w:r>
          </w:p>
          <w:p w14:paraId="521BED2E">
            <w:pPr>
              <w:pStyle w:val="2"/>
              <w:jc w:val="center"/>
              <w:rPr>
                <w:rFonts w:hint="eastAsia"/>
                <w:color w:val="000000" w:themeColor="text1"/>
                <w:kern w:val="0"/>
                <w:sz w:val="18"/>
                <w:szCs w:val="18"/>
              </w:rPr>
            </w:pPr>
            <w:r>
              <w:rPr>
                <w:rFonts w:hint="eastAsia"/>
                <w:color w:val="000000" w:themeColor="text1"/>
                <w:kern w:val="0"/>
                <w:sz w:val="18"/>
                <w:szCs w:val="18"/>
              </w:rPr>
              <w:t>信息安全</w:t>
            </w:r>
          </w:p>
        </w:tc>
        <w:tc>
          <w:tcPr>
            <w:tcW w:w="691" w:type="dxa"/>
            <w:tcBorders>
              <w:bottom w:val="single" w:color="auto" w:sz="4" w:space="0"/>
            </w:tcBorders>
            <w:shd w:val="clear" w:color="auto" w:fill="auto"/>
            <w:vAlign w:val="center"/>
          </w:tcPr>
          <w:p w14:paraId="22D27E94">
            <w:pPr>
              <w:pStyle w:val="2"/>
              <w:jc w:val="center"/>
              <w:rPr>
                <w:color w:val="000000" w:themeColor="text1"/>
                <w:kern w:val="0"/>
                <w:sz w:val="18"/>
                <w:szCs w:val="18"/>
              </w:rPr>
            </w:pPr>
          </w:p>
          <w:p w14:paraId="4BDD9A4A">
            <w:pPr>
              <w:pStyle w:val="2"/>
              <w:jc w:val="center"/>
              <w:rPr>
                <w:color w:val="000000" w:themeColor="text1"/>
                <w:kern w:val="0"/>
                <w:sz w:val="18"/>
                <w:szCs w:val="18"/>
              </w:rPr>
            </w:pPr>
          </w:p>
          <w:p w14:paraId="56C29697">
            <w:pPr>
              <w:pStyle w:val="2"/>
              <w:jc w:val="center"/>
              <w:rPr>
                <w:color w:val="000000" w:themeColor="text1"/>
                <w:kern w:val="0"/>
                <w:sz w:val="18"/>
                <w:szCs w:val="18"/>
              </w:rPr>
            </w:pPr>
          </w:p>
          <w:p w14:paraId="5DB9E91D">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64</w:t>
            </w:r>
          </w:p>
          <w:p w14:paraId="45908084">
            <w:pPr>
              <w:pStyle w:val="2"/>
              <w:jc w:val="center"/>
              <w:rPr>
                <w:rFonts w:hint="eastAsia"/>
                <w:color w:val="000000" w:themeColor="text1"/>
                <w:kern w:val="0"/>
                <w:sz w:val="18"/>
                <w:szCs w:val="18"/>
              </w:rPr>
            </w:pPr>
          </w:p>
        </w:tc>
      </w:tr>
      <w:tr w14:paraId="3489C64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3848051C">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2</w:t>
            </w:r>
          </w:p>
        </w:tc>
        <w:tc>
          <w:tcPr>
            <w:tcW w:w="940" w:type="dxa"/>
            <w:tcBorders>
              <w:bottom w:val="single" w:color="auto" w:sz="4" w:space="0"/>
            </w:tcBorders>
            <w:shd w:val="clear" w:color="auto" w:fill="auto"/>
            <w:vAlign w:val="center"/>
          </w:tcPr>
          <w:p w14:paraId="016049A2">
            <w:pPr>
              <w:jc w:val="center"/>
              <w:rPr>
                <w:rFonts w:ascii="宋体" w:hAnsi="宋体" w:cs="宋体"/>
                <w:color w:val="000000" w:themeColor="text1"/>
                <w:sz w:val="18"/>
                <w:szCs w:val="18"/>
              </w:rPr>
            </w:pPr>
            <w:r>
              <w:rPr>
                <w:rFonts w:hint="eastAsia" w:ascii="宋体" w:hAnsi="宋体" w:cs="宋体"/>
                <w:color w:val="000000" w:themeColor="text1"/>
                <w:sz w:val="18"/>
                <w:szCs w:val="18"/>
              </w:rPr>
              <w:t>成本核算与管理</w:t>
            </w:r>
          </w:p>
          <w:p w14:paraId="7FDBF2BA">
            <w:pPr>
              <w:pStyle w:val="2"/>
              <w:jc w:val="center"/>
              <w:rPr>
                <w:rFonts w:ascii="Times New Roman" w:hAnsi="Times New Roman" w:eastAsia="宋体" w:cs="Times New Roman"/>
                <w:color w:val="000000" w:themeColor="text1"/>
                <w:kern w:val="0"/>
                <w:sz w:val="18"/>
                <w:szCs w:val="18"/>
                <w:lang w:val="en-US" w:eastAsia="zh-CN" w:bidi="ar-SA"/>
              </w:rPr>
            </w:pPr>
          </w:p>
        </w:tc>
        <w:tc>
          <w:tcPr>
            <w:tcW w:w="2218" w:type="dxa"/>
            <w:tcBorders>
              <w:bottom w:val="single" w:color="auto" w:sz="4" w:space="0"/>
            </w:tcBorders>
            <w:shd w:val="clear" w:color="auto" w:fill="auto"/>
            <w:vAlign w:val="center"/>
          </w:tcPr>
          <w:p w14:paraId="2A6262A5">
            <w:pPr>
              <w:pStyle w:val="2"/>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成本核算程序</w:t>
            </w:r>
          </w:p>
          <w:p w14:paraId="238F4E2D">
            <w:pPr>
              <w:pStyle w:val="2"/>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要素费用归集与分析</w:t>
            </w:r>
          </w:p>
          <w:p w14:paraId="66A08EC6">
            <w:pPr>
              <w:pStyle w:val="2"/>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品种法成本计算</w:t>
            </w:r>
          </w:p>
          <w:p w14:paraId="5795ACB5">
            <w:pPr>
              <w:pStyle w:val="2"/>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分批法成本计算</w:t>
            </w:r>
          </w:p>
          <w:p w14:paraId="73418A24">
            <w:pPr>
              <w:pStyle w:val="2"/>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分步法成本计算</w:t>
            </w:r>
          </w:p>
          <w:p w14:paraId="1347AC7A">
            <w:pPr>
              <w:pStyle w:val="2"/>
              <w:rPr>
                <w:rFonts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2</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成本报表与分析</w:t>
            </w:r>
          </w:p>
        </w:tc>
        <w:tc>
          <w:tcPr>
            <w:tcW w:w="2932" w:type="dxa"/>
            <w:tcBorders>
              <w:bottom w:val="single" w:color="auto" w:sz="4" w:space="0"/>
            </w:tcBorders>
            <w:shd w:val="clear" w:color="auto" w:fill="auto"/>
            <w:vAlign w:val="center"/>
          </w:tcPr>
          <w:p w14:paraId="7A148F69">
            <w:pPr>
              <w:ind w:firstLine="360" w:firstLineChars="200"/>
              <w:jc w:val="left"/>
              <w:rPr>
                <w:rFonts w:ascii="宋体" w:hAnsi="宋体"/>
                <w:color w:val="000000" w:themeColor="text1"/>
                <w:sz w:val="18"/>
                <w:szCs w:val="18"/>
              </w:rPr>
            </w:pPr>
            <w:r>
              <w:rPr>
                <w:rFonts w:hint="eastAsia" w:ascii="宋体" w:hAnsi="宋体" w:cs="宋体"/>
                <w:color w:val="000000" w:themeColor="text1"/>
                <w:sz w:val="18"/>
                <w:szCs w:val="18"/>
              </w:rPr>
              <w:t>主要内容：</w:t>
            </w:r>
            <w:r>
              <w:rPr>
                <w:rFonts w:ascii="宋体" w:hAnsi="宋体"/>
                <w:color w:val="000000" w:themeColor="text1"/>
                <w:sz w:val="18"/>
                <w:szCs w:val="18"/>
              </w:rPr>
              <w:t>成本核算程序，费用</w:t>
            </w:r>
            <w:r>
              <w:rPr>
                <w:rFonts w:hint="eastAsia" w:ascii="宋体" w:hAnsi="宋体"/>
                <w:color w:val="000000" w:themeColor="text1"/>
                <w:sz w:val="18"/>
                <w:szCs w:val="18"/>
              </w:rPr>
              <w:t>归集与分配</w:t>
            </w:r>
            <w:r>
              <w:rPr>
                <w:rFonts w:ascii="宋体" w:hAnsi="宋体"/>
                <w:color w:val="000000" w:themeColor="text1"/>
                <w:sz w:val="18"/>
                <w:szCs w:val="18"/>
              </w:rPr>
              <w:t>，</w:t>
            </w:r>
            <w:r>
              <w:rPr>
                <w:rFonts w:hint="eastAsia" w:ascii="宋体" w:hAnsi="宋体"/>
                <w:color w:val="000000" w:themeColor="text1"/>
                <w:sz w:val="18"/>
                <w:szCs w:val="18"/>
              </w:rPr>
              <w:t>品种法</w:t>
            </w:r>
            <w:r>
              <w:rPr>
                <w:rFonts w:ascii="宋体" w:hAnsi="宋体"/>
                <w:color w:val="000000" w:themeColor="text1"/>
                <w:sz w:val="18"/>
                <w:szCs w:val="18"/>
              </w:rPr>
              <w:t>，</w:t>
            </w:r>
            <w:r>
              <w:rPr>
                <w:rFonts w:hint="eastAsia" w:ascii="宋体" w:hAnsi="宋体"/>
                <w:color w:val="000000" w:themeColor="text1"/>
                <w:sz w:val="18"/>
                <w:szCs w:val="18"/>
              </w:rPr>
              <w:t>作业成本法，目标成本法，变动成本法，</w:t>
            </w:r>
            <w:r>
              <w:rPr>
                <w:rFonts w:ascii="宋体" w:hAnsi="宋体"/>
                <w:color w:val="000000" w:themeColor="text1"/>
                <w:sz w:val="18"/>
                <w:szCs w:val="18"/>
              </w:rPr>
              <w:t>成本报表的编制</w:t>
            </w:r>
            <w:r>
              <w:rPr>
                <w:rFonts w:hint="eastAsia" w:ascii="宋体" w:hAnsi="宋体"/>
                <w:color w:val="000000" w:themeColor="text1"/>
                <w:sz w:val="18"/>
                <w:szCs w:val="18"/>
              </w:rPr>
              <w:t>和成本</w:t>
            </w:r>
            <w:r>
              <w:rPr>
                <w:rFonts w:ascii="宋体" w:hAnsi="宋体"/>
                <w:color w:val="000000" w:themeColor="text1"/>
                <w:sz w:val="18"/>
                <w:szCs w:val="18"/>
              </w:rPr>
              <w:t>分析</w:t>
            </w:r>
            <w:r>
              <w:rPr>
                <w:rFonts w:hint="eastAsia" w:ascii="宋体" w:hAnsi="宋体"/>
                <w:color w:val="000000" w:themeColor="text1"/>
                <w:sz w:val="18"/>
                <w:szCs w:val="18"/>
              </w:rPr>
              <w:t>与管理</w:t>
            </w:r>
            <w:r>
              <w:rPr>
                <w:rFonts w:ascii="宋体" w:hAnsi="宋体"/>
                <w:color w:val="000000" w:themeColor="text1"/>
                <w:sz w:val="18"/>
                <w:szCs w:val="18"/>
              </w:rPr>
              <w:t>。</w:t>
            </w:r>
          </w:p>
          <w:p w14:paraId="6D3B2A42">
            <w:pPr>
              <w:ind w:firstLine="360" w:firstLineChars="200"/>
              <w:jc w:val="left"/>
              <w:rPr>
                <w:rFonts w:ascii="Times New Roman" w:hAnsi="Times New Roman" w:eastAsia="宋体" w:cs="Times New Roman"/>
                <w:color w:val="000000" w:themeColor="text1"/>
                <w:kern w:val="0"/>
                <w:sz w:val="18"/>
                <w:szCs w:val="18"/>
                <w:lang w:val="en-US" w:eastAsia="zh-CN" w:bidi="ar-SA"/>
              </w:rPr>
            </w:pPr>
            <w:r>
              <w:rPr>
                <w:rFonts w:hint="eastAsia" w:ascii="宋体" w:hAnsi="宋体" w:cs="宋体"/>
                <w:color w:val="000000" w:themeColor="text1"/>
                <w:sz w:val="18"/>
                <w:szCs w:val="18"/>
              </w:rPr>
              <w:t>教学要求：</w:t>
            </w:r>
            <w:r>
              <w:rPr>
                <w:rFonts w:ascii="宋体" w:hAnsi="宋体"/>
                <w:color w:val="000000" w:themeColor="text1"/>
                <w:sz w:val="18"/>
                <w:szCs w:val="18"/>
              </w:rPr>
              <w:t>掌握企业成本核算的程序和基本方法</w:t>
            </w:r>
            <w:r>
              <w:rPr>
                <w:rFonts w:hint="eastAsia" w:ascii="宋体" w:hAnsi="宋体"/>
                <w:color w:val="000000" w:themeColor="text1"/>
                <w:sz w:val="18"/>
                <w:szCs w:val="18"/>
              </w:rPr>
              <w:t>，</w:t>
            </w:r>
            <w:r>
              <w:rPr>
                <w:rFonts w:ascii="宋体" w:hAnsi="宋体"/>
                <w:color w:val="000000" w:themeColor="text1"/>
                <w:sz w:val="18"/>
                <w:szCs w:val="18"/>
              </w:rPr>
              <w:t>了解行业成本计算的一般方法</w:t>
            </w:r>
            <w:r>
              <w:rPr>
                <w:rFonts w:hint="eastAsia" w:ascii="宋体" w:hAnsi="宋体"/>
                <w:color w:val="000000" w:themeColor="text1"/>
                <w:sz w:val="18"/>
                <w:szCs w:val="18"/>
              </w:rPr>
              <w:t>；具备</w:t>
            </w:r>
            <w:r>
              <w:rPr>
                <w:rFonts w:ascii="宋体" w:hAnsi="宋体"/>
                <w:color w:val="000000" w:themeColor="text1"/>
                <w:sz w:val="18"/>
                <w:szCs w:val="18"/>
              </w:rPr>
              <w:t>成本</w:t>
            </w:r>
            <w:r>
              <w:rPr>
                <w:rFonts w:hint="eastAsia" w:ascii="宋体" w:hAnsi="宋体"/>
                <w:color w:val="000000" w:themeColor="text1"/>
                <w:sz w:val="18"/>
                <w:szCs w:val="18"/>
              </w:rPr>
              <w:t>核算与分析</w:t>
            </w:r>
            <w:r>
              <w:rPr>
                <w:rFonts w:ascii="宋体" w:hAnsi="宋体"/>
                <w:color w:val="000000" w:themeColor="text1"/>
                <w:sz w:val="18"/>
                <w:szCs w:val="18"/>
              </w:rPr>
              <w:t>的能力</w:t>
            </w:r>
            <w:r>
              <w:rPr>
                <w:rFonts w:hint="eastAsia" w:ascii="宋体" w:hAnsi="宋体"/>
                <w:color w:val="000000" w:themeColor="text1"/>
                <w:sz w:val="18"/>
                <w:szCs w:val="18"/>
              </w:rPr>
              <w:t>。</w:t>
            </w:r>
          </w:p>
        </w:tc>
        <w:tc>
          <w:tcPr>
            <w:tcW w:w="1376" w:type="dxa"/>
            <w:tcBorders>
              <w:bottom w:val="single" w:color="auto" w:sz="4" w:space="0"/>
            </w:tcBorders>
            <w:shd w:val="clear" w:color="auto" w:fill="auto"/>
            <w:vAlign w:val="center"/>
          </w:tcPr>
          <w:p w14:paraId="3AD4FC04">
            <w:pPr>
              <w:pStyle w:val="2"/>
              <w:jc w:val="center"/>
              <w:rPr>
                <w:color w:val="000000" w:themeColor="text1"/>
                <w:kern w:val="0"/>
                <w:sz w:val="18"/>
                <w:szCs w:val="18"/>
              </w:rPr>
            </w:pPr>
            <w:r>
              <w:rPr>
                <w:rFonts w:hint="eastAsia"/>
                <w:color w:val="000000" w:themeColor="text1"/>
                <w:kern w:val="0"/>
                <w:sz w:val="18"/>
                <w:szCs w:val="18"/>
              </w:rPr>
              <w:t>责任担当</w:t>
            </w:r>
          </w:p>
          <w:p w14:paraId="4C8BD2F8">
            <w:pPr>
              <w:pStyle w:val="2"/>
              <w:jc w:val="center"/>
              <w:rPr>
                <w:color w:val="000000" w:themeColor="text1"/>
                <w:kern w:val="0"/>
                <w:sz w:val="18"/>
                <w:szCs w:val="18"/>
              </w:rPr>
            </w:pPr>
            <w:r>
              <w:rPr>
                <w:rFonts w:hint="eastAsia"/>
                <w:color w:val="000000" w:themeColor="text1"/>
                <w:kern w:val="0"/>
                <w:sz w:val="18"/>
                <w:szCs w:val="18"/>
              </w:rPr>
              <w:t>理论自信</w:t>
            </w:r>
          </w:p>
          <w:p w14:paraId="218BBF5C">
            <w:pPr>
              <w:pStyle w:val="2"/>
              <w:jc w:val="center"/>
              <w:rPr>
                <w:color w:val="000000" w:themeColor="text1"/>
                <w:kern w:val="0"/>
                <w:sz w:val="18"/>
                <w:szCs w:val="18"/>
              </w:rPr>
            </w:pPr>
            <w:r>
              <w:rPr>
                <w:rFonts w:hint="eastAsia"/>
                <w:color w:val="000000" w:themeColor="text1"/>
                <w:kern w:val="0"/>
                <w:sz w:val="18"/>
                <w:szCs w:val="18"/>
              </w:rPr>
              <w:t>成本意识</w:t>
            </w:r>
          </w:p>
          <w:p w14:paraId="2A408797">
            <w:pPr>
              <w:pStyle w:val="2"/>
              <w:jc w:val="center"/>
              <w:rPr>
                <w:rFonts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制度自信</w:t>
            </w:r>
          </w:p>
        </w:tc>
        <w:tc>
          <w:tcPr>
            <w:tcW w:w="691" w:type="dxa"/>
            <w:tcBorders>
              <w:bottom w:val="single" w:color="auto" w:sz="4" w:space="0"/>
            </w:tcBorders>
            <w:shd w:val="clear" w:color="auto" w:fill="auto"/>
            <w:vAlign w:val="center"/>
          </w:tcPr>
          <w:p w14:paraId="580DDB7F">
            <w:pPr>
              <w:pStyle w:val="2"/>
              <w:jc w:val="center"/>
              <w:rPr>
                <w:rFonts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lang w:val="en-US" w:eastAsia="zh-CN"/>
              </w:rPr>
              <w:t>64</w:t>
            </w:r>
          </w:p>
        </w:tc>
      </w:tr>
      <w:tr w14:paraId="0F7BD1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5B263A0A">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3</w:t>
            </w:r>
          </w:p>
        </w:tc>
        <w:tc>
          <w:tcPr>
            <w:tcW w:w="940" w:type="dxa"/>
            <w:tcBorders>
              <w:bottom w:val="single" w:color="auto" w:sz="4" w:space="0"/>
            </w:tcBorders>
            <w:shd w:val="clear" w:color="auto" w:fill="auto"/>
            <w:vAlign w:val="center"/>
          </w:tcPr>
          <w:p w14:paraId="277C676A">
            <w:pPr>
              <w:jc w:val="center"/>
              <w:rPr>
                <w:rFonts w:ascii="宋体" w:hAnsi="宋体" w:cs="宋体"/>
                <w:color w:val="000000" w:themeColor="text1"/>
                <w:sz w:val="18"/>
                <w:szCs w:val="18"/>
              </w:rPr>
            </w:pPr>
            <w:r>
              <w:rPr>
                <w:rFonts w:hint="eastAsia" w:ascii="宋体" w:hAnsi="宋体" w:cs="宋体"/>
                <w:color w:val="000000" w:themeColor="text1"/>
                <w:sz w:val="18"/>
                <w:szCs w:val="18"/>
              </w:rPr>
              <w:t>企业财务</w:t>
            </w:r>
          </w:p>
          <w:p w14:paraId="0D8234DD">
            <w:pPr>
              <w:jc w:val="center"/>
              <w:rPr>
                <w:rFonts w:ascii="宋体" w:hAnsi="宋体" w:cs="宋体"/>
                <w:color w:val="000000" w:themeColor="text1"/>
                <w:sz w:val="18"/>
                <w:szCs w:val="18"/>
              </w:rPr>
            </w:pPr>
            <w:r>
              <w:rPr>
                <w:rFonts w:hint="eastAsia" w:ascii="宋体" w:hAnsi="宋体" w:cs="宋体"/>
                <w:color w:val="000000" w:themeColor="text1"/>
                <w:sz w:val="18"/>
                <w:szCs w:val="18"/>
              </w:rPr>
              <w:t>管理</w:t>
            </w:r>
          </w:p>
          <w:p w14:paraId="444F05A7">
            <w:pPr>
              <w:pStyle w:val="2"/>
              <w:jc w:val="center"/>
              <w:rPr>
                <w:color w:val="000000" w:themeColor="text1"/>
                <w:kern w:val="0"/>
                <w:sz w:val="18"/>
                <w:szCs w:val="18"/>
              </w:rPr>
            </w:pPr>
          </w:p>
        </w:tc>
        <w:tc>
          <w:tcPr>
            <w:tcW w:w="2218" w:type="dxa"/>
            <w:tcBorders>
              <w:bottom w:val="single" w:color="auto" w:sz="4" w:space="0"/>
            </w:tcBorders>
            <w:shd w:val="clear" w:color="auto" w:fill="auto"/>
            <w:vAlign w:val="center"/>
          </w:tcPr>
          <w:p w14:paraId="57BCA3F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ascii="宋体" w:hAnsi="宋体" w:cs="宋体"/>
                <w:color w:val="000000" w:themeColor="text1"/>
                <w:sz w:val="18"/>
                <w:szCs w:val="18"/>
              </w:rPr>
              <w:t>财务管理价值观念培养</w:t>
            </w:r>
          </w:p>
          <w:p w14:paraId="090DE010">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筹资管理</w:t>
            </w:r>
          </w:p>
          <w:p w14:paraId="7A8C6E36">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营运资金管理</w:t>
            </w:r>
          </w:p>
          <w:p w14:paraId="733758F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项目投资管理</w:t>
            </w:r>
          </w:p>
          <w:p w14:paraId="5056AC66">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收益分配管理</w:t>
            </w:r>
          </w:p>
          <w:p w14:paraId="2E484CA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财务控制</w:t>
            </w:r>
          </w:p>
          <w:p w14:paraId="775BA0C7">
            <w:pPr>
              <w:pStyle w:val="2"/>
              <w:jc w:val="left"/>
              <w:rPr>
                <w:rFonts w:hint="eastAsia"/>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财务分析</w:t>
            </w:r>
          </w:p>
        </w:tc>
        <w:tc>
          <w:tcPr>
            <w:tcW w:w="2932" w:type="dxa"/>
            <w:tcBorders>
              <w:bottom w:val="single" w:color="auto" w:sz="4" w:space="0"/>
            </w:tcBorders>
            <w:shd w:val="clear" w:color="auto" w:fill="auto"/>
            <w:vAlign w:val="center"/>
          </w:tcPr>
          <w:p w14:paraId="703680B2">
            <w:pPr>
              <w:ind w:firstLine="360" w:firstLineChars="200"/>
              <w:rPr>
                <w:rFonts w:ascii="宋体" w:hAnsi="宋体" w:cs="Arial"/>
                <w:color w:val="000000" w:themeColor="text1"/>
                <w:sz w:val="18"/>
                <w:szCs w:val="18"/>
              </w:rPr>
            </w:pPr>
            <w:r>
              <w:rPr>
                <w:rFonts w:hint="eastAsia" w:ascii="宋体" w:hAnsi="宋体" w:cs="宋体"/>
                <w:color w:val="000000" w:themeColor="text1"/>
                <w:sz w:val="18"/>
                <w:szCs w:val="18"/>
              </w:rPr>
              <w:t>主要内容：</w:t>
            </w:r>
            <w:r>
              <w:rPr>
                <w:rFonts w:ascii="宋体" w:hAnsi="宋体" w:cs="宋体"/>
                <w:color w:val="000000" w:themeColor="text1"/>
                <w:sz w:val="18"/>
                <w:szCs w:val="18"/>
              </w:rPr>
              <w:t>货币时间价值，风险与收益和成本性态分析；</w:t>
            </w:r>
            <w:r>
              <w:rPr>
                <w:rFonts w:hint="eastAsia" w:ascii="宋体" w:hAnsi="宋体"/>
                <w:color w:val="000000" w:themeColor="text1"/>
                <w:sz w:val="18"/>
                <w:szCs w:val="18"/>
              </w:rPr>
              <w:t>预算的编制方法和程序，预算的执行和考核；杠杆利益的计算方法、长期借款筹资、债券筹资、股票筹资、租赁筹资的评价方法比较，筹资方案的合理性进行预测、决策分析。</w:t>
            </w:r>
          </w:p>
          <w:p w14:paraId="503E431F">
            <w:pPr>
              <w:ind w:firstLine="360" w:firstLineChars="200"/>
              <w:rPr>
                <w:rFonts w:hint="eastAsia" w:cs="宋体"/>
                <w:color w:val="000000" w:themeColor="text1"/>
                <w:sz w:val="18"/>
                <w:szCs w:val="18"/>
              </w:rPr>
            </w:pPr>
            <w:r>
              <w:rPr>
                <w:rFonts w:hint="eastAsia" w:ascii="宋体" w:hAnsi="宋体" w:cs="宋体"/>
                <w:color w:val="000000" w:themeColor="text1"/>
                <w:sz w:val="18"/>
                <w:szCs w:val="18"/>
              </w:rPr>
              <w:t>教学要求：掌握</w:t>
            </w:r>
            <w:r>
              <w:rPr>
                <w:rFonts w:hint="eastAsia" w:ascii="宋体" w:hAnsi="宋体" w:cs="Arial"/>
                <w:color w:val="000000" w:themeColor="text1"/>
                <w:sz w:val="18"/>
                <w:szCs w:val="18"/>
              </w:rPr>
              <w:t>企业资金筹集的方式、资金结构的确定，项目投资的选择，收益分配的方法、运营资金管理及财务分析方法。通过学习本门课程使学生能够编制财务计划，进行财务分析，具有参与企业筹资，投资管理的能力。</w:t>
            </w:r>
          </w:p>
        </w:tc>
        <w:tc>
          <w:tcPr>
            <w:tcW w:w="1376" w:type="dxa"/>
            <w:tcBorders>
              <w:bottom w:val="single" w:color="auto" w:sz="4" w:space="0"/>
            </w:tcBorders>
            <w:shd w:val="clear" w:color="auto" w:fill="auto"/>
            <w:vAlign w:val="center"/>
          </w:tcPr>
          <w:p w14:paraId="622B2A5C">
            <w:pPr>
              <w:jc w:val="center"/>
              <w:rPr>
                <w:color w:val="000000" w:themeColor="text1"/>
                <w:sz w:val="18"/>
                <w:szCs w:val="18"/>
              </w:rPr>
            </w:pPr>
            <w:r>
              <w:rPr>
                <w:rFonts w:hint="eastAsia"/>
                <w:color w:val="000000" w:themeColor="text1"/>
                <w:sz w:val="18"/>
                <w:szCs w:val="18"/>
              </w:rPr>
              <w:t>勤俭节约</w:t>
            </w:r>
          </w:p>
          <w:p w14:paraId="5CD56605">
            <w:pPr>
              <w:jc w:val="center"/>
              <w:rPr>
                <w:color w:val="000000" w:themeColor="text1"/>
                <w:sz w:val="18"/>
                <w:szCs w:val="18"/>
              </w:rPr>
            </w:pPr>
            <w:r>
              <w:rPr>
                <w:rFonts w:hint="eastAsia"/>
                <w:color w:val="000000" w:themeColor="text1"/>
                <w:sz w:val="18"/>
                <w:szCs w:val="18"/>
              </w:rPr>
              <w:t>量入为出</w:t>
            </w:r>
          </w:p>
          <w:p w14:paraId="651BC09A">
            <w:pPr>
              <w:jc w:val="center"/>
              <w:rPr>
                <w:rFonts w:hint="eastAsia"/>
                <w:color w:val="000000" w:themeColor="text1"/>
                <w:kern w:val="0"/>
                <w:sz w:val="18"/>
                <w:szCs w:val="18"/>
              </w:rPr>
            </w:pPr>
            <w:r>
              <w:rPr>
                <w:rFonts w:hint="eastAsia"/>
                <w:color w:val="000000" w:themeColor="text1"/>
                <w:sz w:val="18"/>
                <w:szCs w:val="18"/>
              </w:rPr>
              <w:t>科学理财</w:t>
            </w:r>
          </w:p>
        </w:tc>
        <w:tc>
          <w:tcPr>
            <w:tcW w:w="691" w:type="dxa"/>
            <w:tcBorders>
              <w:bottom w:val="single" w:color="auto" w:sz="4" w:space="0"/>
            </w:tcBorders>
            <w:shd w:val="clear" w:color="auto" w:fill="auto"/>
            <w:vAlign w:val="center"/>
          </w:tcPr>
          <w:p w14:paraId="3D62D7E1">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default" w:ascii="Times New Roman" w:hAnsi="Times New Roman" w:cs="Times New Roman"/>
                <w:color w:val="000000" w:themeColor="text1"/>
                <w:kern w:val="0"/>
                <w:sz w:val="18"/>
                <w:szCs w:val="18"/>
                <w:lang w:val="en-US" w:eastAsia="zh-CN"/>
              </w:rPr>
              <w:t>8</w:t>
            </w:r>
          </w:p>
        </w:tc>
      </w:tr>
      <w:tr w14:paraId="3995FB0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04637CF4">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4</w:t>
            </w:r>
          </w:p>
        </w:tc>
        <w:tc>
          <w:tcPr>
            <w:tcW w:w="940" w:type="dxa"/>
            <w:tcBorders>
              <w:bottom w:val="single" w:color="auto" w:sz="4" w:space="0"/>
            </w:tcBorders>
            <w:shd w:val="clear" w:color="auto" w:fill="auto"/>
            <w:vAlign w:val="center"/>
          </w:tcPr>
          <w:p w14:paraId="49387E4E">
            <w:pPr>
              <w:pStyle w:val="2"/>
              <w:jc w:val="center"/>
              <w:rPr>
                <w:rFonts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管理会计基础</w:t>
            </w:r>
          </w:p>
        </w:tc>
        <w:tc>
          <w:tcPr>
            <w:tcW w:w="2218" w:type="dxa"/>
            <w:tcBorders>
              <w:bottom w:val="single" w:color="auto" w:sz="4" w:space="0"/>
            </w:tcBorders>
            <w:shd w:val="clear" w:color="auto" w:fill="auto"/>
            <w:vAlign w:val="center"/>
          </w:tcPr>
          <w:p w14:paraId="1F3497C9">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认知战略管理</w:t>
            </w:r>
          </w:p>
          <w:p w14:paraId="6C40D05B">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认知预算管理</w:t>
            </w:r>
          </w:p>
          <w:p w14:paraId="722EAECD">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认知成本管理</w:t>
            </w:r>
          </w:p>
          <w:p w14:paraId="72429447">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认知营运管理</w:t>
            </w:r>
          </w:p>
          <w:p w14:paraId="19E74D2E">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认知绩效管理</w:t>
            </w:r>
          </w:p>
          <w:p w14:paraId="10335E03">
            <w:pPr>
              <w:pStyle w:val="2"/>
              <w:jc w:val="left"/>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编制管理会计报告</w:t>
            </w:r>
          </w:p>
        </w:tc>
        <w:tc>
          <w:tcPr>
            <w:tcW w:w="2932" w:type="dxa"/>
            <w:tcBorders>
              <w:bottom w:val="single" w:color="auto" w:sz="4" w:space="0"/>
            </w:tcBorders>
            <w:shd w:val="clear" w:color="auto" w:fill="auto"/>
            <w:vAlign w:val="center"/>
          </w:tcPr>
          <w:p w14:paraId="74523E8D">
            <w:pPr>
              <w:adjustRightInd w:val="0"/>
              <w:ind w:firstLine="360" w:firstLineChars="200"/>
              <w:jc w:val="left"/>
              <w:rPr>
                <w:rFonts w:cs="宋体"/>
                <w:color w:val="000000" w:themeColor="text1"/>
                <w:sz w:val="18"/>
                <w:szCs w:val="18"/>
              </w:rPr>
            </w:pPr>
            <w:r>
              <w:rPr>
                <w:rFonts w:hint="eastAsia" w:cs="宋体"/>
                <w:color w:val="000000" w:themeColor="text1"/>
                <w:sz w:val="18"/>
                <w:szCs w:val="18"/>
              </w:rPr>
              <w:t>主要内容：管理会计职业入门；管理会计工作基础；预测与决策会计；规划与控制会计；责任评价会计。</w:t>
            </w:r>
          </w:p>
          <w:p w14:paraId="35EFBE0A">
            <w:pPr>
              <w:adjustRightInd w:val="0"/>
              <w:ind w:firstLine="360" w:firstLineChars="200"/>
              <w:jc w:val="left"/>
              <w:rPr>
                <w:rFonts w:hint="eastAsia" w:ascii="Times New Roman" w:hAnsi="Times New Roman" w:eastAsia="宋体" w:cs="Times New Roman"/>
                <w:color w:val="000000" w:themeColor="text1"/>
                <w:kern w:val="0"/>
                <w:sz w:val="18"/>
                <w:szCs w:val="18"/>
                <w:lang w:val="en-US" w:eastAsia="zh-CN" w:bidi="ar-SA"/>
              </w:rPr>
            </w:pPr>
            <w:r>
              <w:rPr>
                <w:rFonts w:hint="eastAsia" w:cs="宋体"/>
                <w:color w:val="000000" w:themeColor="text1"/>
                <w:sz w:val="18"/>
                <w:szCs w:val="18"/>
              </w:rPr>
              <w:t>教学要求：掌握加工和运用企业内部财务信息，预测经济前景、参与经营决策、规划经营方针、控制经营过程和考评责任业绩。</w:t>
            </w:r>
          </w:p>
        </w:tc>
        <w:tc>
          <w:tcPr>
            <w:tcW w:w="1376" w:type="dxa"/>
            <w:tcBorders>
              <w:bottom w:val="single" w:color="auto" w:sz="4" w:space="0"/>
            </w:tcBorders>
            <w:shd w:val="clear" w:color="auto" w:fill="auto"/>
            <w:vAlign w:val="center"/>
          </w:tcPr>
          <w:p w14:paraId="07F2DFD8">
            <w:pPr>
              <w:pStyle w:val="2"/>
              <w:jc w:val="center"/>
              <w:rPr>
                <w:color w:val="000000" w:themeColor="text1"/>
                <w:kern w:val="0"/>
                <w:sz w:val="18"/>
                <w:szCs w:val="18"/>
              </w:rPr>
            </w:pPr>
            <w:r>
              <w:rPr>
                <w:rFonts w:hint="eastAsia"/>
                <w:color w:val="000000" w:themeColor="text1"/>
                <w:kern w:val="0"/>
                <w:sz w:val="18"/>
                <w:szCs w:val="18"/>
              </w:rPr>
              <w:t>遵纪守法</w:t>
            </w:r>
          </w:p>
          <w:p w14:paraId="59CECA76">
            <w:pPr>
              <w:pStyle w:val="2"/>
              <w:jc w:val="center"/>
              <w:rPr>
                <w:color w:val="000000" w:themeColor="text1"/>
                <w:kern w:val="0"/>
                <w:sz w:val="18"/>
                <w:szCs w:val="18"/>
              </w:rPr>
            </w:pPr>
            <w:r>
              <w:rPr>
                <w:rFonts w:hint="eastAsia"/>
                <w:color w:val="000000" w:themeColor="text1"/>
                <w:kern w:val="0"/>
                <w:sz w:val="18"/>
                <w:szCs w:val="18"/>
              </w:rPr>
              <w:t>爱岗敬业</w:t>
            </w:r>
          </w:p>
          <w:p w14:paraId="7AC3676F">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诚实守信</w:t>
            </w:r>
          </w:p>
        </w:tc>
        <w:tc>
          <w:tcPr>
            <w:tcW w:w="691" w:type="dxa"/>
            <w:tcBorders>
              <w:bottom w:val="single" w:color="auto" w:sz="4" w:space="0"/>
            </w:tcBorders>
            <w:shd w:val="clear" w:color="auto" w:fill="auto"/>
            <w:vAlign w:val="center"/>
          </w:tcPr>
          <w:p w14:paraId="41324EC9">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64</w:t>
            </w:r>
          </w:p>
        </w:tc>
      </w:tr>
      <w:tr w14:paraId="219ABF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67B22066">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5</w:t>
            </w:r>
          </w:p>
        </w:tc>
        <w:tc>
          <w:tcPr>
            <w:tcW w:w="940" w:type="dxa"/>
            <w:tcBorders>
              <w:bottom w:val="single" w:color="auto" w:sz="4" w:space="0"/>
            </w:tcBorders>
            <w:shd w:val="clear" w:color="auto" w:fill="auto"/>
            <w:vAlign w:val="center"/>
          </w:tcPr>
          <w:p w14:paraId="024E0F17">
            <w:pPr>
              <w:adjustRightInd w:val="0"/>
              <w:snapToGrid w:val="0"/>
              <w:jc w:val="center"/>
              <w:rPr>
                <w:rFonts w:ascii="Times New Roman" w:hAnsi="Times New Roman" w:eastAsia="宋体" w:cs="Times New Roman"/>
                <w:color w:val="000000" w:themeColor="text1"/>
                <w:kern w:val="0"/>
                <w:sz w:val="18"/>
                <w:szCs w:val="18"/>
                <w:lang w:val="en-US" w:eastAsia="zh-CN" w:bidi="ar-SA"/>
              </w:rPr>
            </w:pPr>
            <w:r>
              <w:rPr>
                <w:rFonts w:hint="eastAsia" w:ascii="宋体" w:hAnsi="宋体" w:cs="宋体"/>
                <w:color w:val="000000" w:themeColor="text1"/>
                <w:sz w:val="18"/>
                <w:szCs w:val="18"/>
              </w:rPr>
              <w:t>财务大数据基础</w:t>
            </w:r>
          </w:p>
        </w:tc>
        <w:tc>
          <w:tcPr>
            <w:tcW w:w="2218" w:type="dxa"/>
            <w:tcBorders>
              <w:bottom w:val="single" w:color="auto" w:sz="4" w:space="0"/>
            </w:tcBorders>
            <w:shd w:val="clear" w:color="auto" w:fill="auto"/>
            <w:vAlign w:val="center"/>
          </w:tcPr>
          <w:p w14:paraId="54DF5A00">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财务大数据认知</w:t>
            </w:r>
          </w:p>
          <w:p w14:paraId="7D04D1CB">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w:t>
            </w:r>
            <w:r>
              <w:rPr>
                <w:rFonts w:hint="default" w:ascii="Times New Roman" w:hAnsi="Times New Roman" w:cs="Times New Roman"/>
                <w:color w:val="000000" w:themeColor="text1"/>
                <w:kern w:val="0"/>
                <w:sz w:val="18"/>
                <w:szCs w:val="18"/>
              </w:rPr>
              <w:t>Python</w:t>
            </w:r>
            <w:r>
              <w:rPr>
                <w:rFonts w:hint="eastAsia"/>
                <w:color w:val="000000" w:themeColor="text1"/>
                <w:kern w:val="0"/>
                <w:sz w:val="18"/>
                <w:szCs w:val="18"/>
              </w:rPr>
              <w:t>环境搭建与使用</w:t>
            </w:r>
          </w:p>
          <w:p w14:paraId="0F87720F">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w:t>
            </w:r>
            <w:r>
              <w:rPr>
                <w:rFonts w:hint="default" w:ascii="Times New Roman" w:hAnsi="Times New Roman" w:cs="Times New Roman"/>
                <w:color w:val="000000" w:themeColor="text1"/>
                <w:kern w:val="0"/>
                <w:sz w:val="18"/>
                <w:szCs w:val="18"/>
              </w:rPr>
              <w:t>Python</w:t>
            </w:r>
            <w:r>
              <w:rPr>
                <w:rFonts w:hint="eastAsia"/>
                <w:color w:val="000000" w:themeColor="text1"/>
                <w:kern w:val="0"/>
                <w:sz w:val="18"/>
                <w:szCs w:val="18"/>
              </w:rPr>
              <w:t>基础程序设计</w:t>
            </w:r>
          </w:p>
          <w:p w14:paraId="69848491">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w:t>
            </w:r>
            <w:r>
              <w:rPr>
                <w:rFonts w:hint="default" w:ascii="Times New Roman" w:hAnsi="Times New Roman" w:cs="Times New Roman"/>
                <w:color w:val="000000" w:themeColor="text1"/>
                <w:kern w:val="0"/>
                <w:sz w:val="18"/>
                <w:szCs w:val="18"/>
              </w:rPr>
              <w:t>Python</w:t>
            </w:r>
            <w:r>
              <w:rPr>
                <w:rFonts w:hint="eastAsia"/>
                <w:color w:val="000000" w:themeColor="text1"/>
                <w:kern w:val="0"/>
                <w:sz w:val="18"/>
                <w:szCs w:val="18"/>
              </w:rPr>
              <w:t>分支结构程序设计</w:t>
            </w:r>
          </w:p>
          <w:p w14:paraId="7C3FFF93">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w:t>
            </w:r>
            <w:r>
              <w:rPr>
                <w:rFonts w:hint="default" w:ascii="Times New Roman" w:hAnsi="Times New Roman" w:cs="Times New Roman"/>
                <w:color w:val="000000" w:themeColor="text1"/>
                <w:kern w:val="0"/>
                <w:sz w:val="18"/>
                <w:szCs w:val="18"/>
              </w:rPr>
              <w:t>Python</w:t>
            </w:r>
            <w:r>
              <w:rPr>
                <w:rFonts w:hint="eastAsia"/>
                <w:color w:val="000000" w:themeColor="text1"/>
                <w:kern w:val="0"/>
                <w:sz w:val="18"/>
                <w:szCs w:val="18"/>
              </w:rPr>
              <w:t>循环结构程序设计</w:t>
            </w:r>
          </w:p>
          <w:p w14:paraId="66459B3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数据分析工具</w:t>
            </w:r>
            <w:r>
              <w:rPr>
                <w:rFonts w:hint="default" w:ascii="Times New Roman" w:hAnsi="Times New Roman" w:cs="Times New Roman"/>
                <w:color w:val="000000" w:themeColor="text1"/>
                <w:kern w:val="0"/>
                <w:sz w:val="18"/>
                <w:szCs w:val="18"/>
              </w:rPr>
              <w:t>Pandas</w:t>
            </w:r>
            <w:r>
              <w:rPr>
                <w:rFonts w:hint="eastAsia"/>
                <w:color w:val="000000" w:themeColor="text1"/>
                <w:kern w:val="0"/>
                <w:sz w:val="18"/>
                <w:szCs w:val="18"/>
              </w:rPr>
              <w:t>入门</w:t>
            </w:r>
          </w:p>
          <w:p w14:paraId="4953F21E">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 xml:space="preserve"> 数据清洗与规整</w:t>
            </w:r>
          </w:p>
          <w:p w14:paraId="4819B023">
            <w:pPr>
              <w:pStyle w:val="2"/>
              <w:jc w:val="left"/>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lang w:val="en-US" w:eastAsia="zh-CN"/>
              </w:rPr>
              <w:t>5</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8</w:t>
            </w:r>
            <w:r>
              <w:rPr>
                <w:rFonts w:hint="eastAsia"/>
                <w:color w:val="000000" w:themeColor="text1"/>
                <w:kern w:val="0"/>
                <w:sz w:val="18"/>
                <w:szCs w:val="18"/>
              </w:rPr>
              <w:t xml:space="preserve"> 数据分析与可视化</w:t>
            </w:r>
          </w:p>
        </w:tc>
        <w:tc>
          <w:tcPr>
            <w:tcW w:w="2932" w:type="dxa"/>
            <w:tcBorders>
              <w:bottom w:val="single" w:color="auto" w:sz="4" w:space="0"/>
            </w:tcBorders>
            <w:shd w:val="clear" w:color="auto" w:fill="auto"/>
            <w:vAlign w:val="center"/>
          </w:tcPr>
          <w:p w14:paraId="5C8BD348">
            <w:pPr>
              <w:adjustRightInd w:val="0"/>
              <w:ind w:firstLine="360" w:firstLineChars="200"/>
              <w:jc w:val="left"/>
              <w:rPr>
                <w:rFonts w:cs="宋体"/>
                <w:color w:val="000000" w:themeColor="text1"/>
                <w:sz w:val="18"/>
                <w:szCs w:val="18"/>
              </w:rPr>
            </w:pPr>
            <w:r>
              <w:rPr>
                <w:rFonts w:hint="eastAsia" w:cs="宋体"/>
                <w:color w:val="000000" w:themeColor="text1"/>
                <w:sz w:val="18"/>
                <w:szCs w:val="18"/>
              </w:rPr>
              <w:t>主要内容：财务大数据认知、</w:t>
            </w:r>
            <w:r>
              <w:rPr>
                <w:rFonts w:hint="default" w:ascii="Times New Roman" w:hAnsi="Times New Roman" w:cs="Times New Roman"/>
                <w:color w:val="000000" w:themeColor="text1"/>
                <w:sz w:val="18"/>
                <w:szCs w:val="18"/>
              </w:rPr>
              <w:t>python</w:t>
            </w:r>
            <w:r>
              <w:rPr>
                <w:rFonts w:hint="eastAsia" w:cs="宋体"/>
                <w:color w:val="000000" w:themeColor="text1"/>
                <w:sz w:val="18"/>
                <w:szCs w:val="18"/>
              </w:rPr>
              <w:t>环境搭建与使用、</w:t>
            </w:r>
            <w:r>
              <w:rPr>
                <w:rFonts w:hint="default" w:ascii="Times New Roman" w:hAnsi="Times New Roman" w:cs="Times New Roman"/>
                <w:color w:val="000000" w:themeColor="text1"/>
                <w:sz w:val="18"/>
                <w:szCs w:val="18"/>
              </w:rPr>
              <w:t>python</w:t>
            </w:r>
            <w:r>
              <w:rPr>
                <w:rFonts w:hint="eastAsia" w:cs="宋体"/>
                <w:color w:val="000000" w:themeColor="text1"/>
                <w:sz w:val="18"/>
                <w:szCs w:val="18"/>
              </w:rPr>
              <w:t>基础程序设计、</w:t>
            </w:r>
            <w:r>
              <w:rPr>
                <w:rFonts w:hint="default" w:ascii="Times New Roman" w:hAnsi="Times New Roman" w:cs="Times New Roman"/>
                <w:color w:val="000000" w:themeColor="text1"/>
                <w:sz w:val="18"/>
                <w:szCs w:val="18"/>
              </w:rPr>
              <w:t>python</w:t>
            </w:r>
            <w:r>
              <w:rPr>
                <w:rFonts w:hint="eastAsia" w:cs="宋体"/>
                <w:color w:val="000000" w:themeColor="text1"/>
                <w:sz w:val="18"/>
                <w:szCs w:val="18"/>
              </w:rPr>
              <w:t>分支结构程序设计、</w:t>
            </w:r>
            <w:r>
              <w:rPr>
                <w:rFonts w:hint="default" w:ascii="Times New Roman" w:hAnsi="Times New Roman" w:cs="Times New Roman"/>
                <w:color w:val="000000" w:themeColor="text1"/>
                <w:sz w:val="18"/>
                <w:szCs w:val="18"/>
              </w:rPr>
              <w:t>python</w:t>
            </w:r>
            <w:r>
              <w:rPr>
                <w:rFonts w:hint="eastAsia" w:cs="宋体"/>
                <w:color w:val="000000" w:themeColor="text1"/>
                <w:sz w:val="18"/>
                <w:szCs w:val="18"/>
              </w:rPr>
              <w:t>循环结构程序设计、数据分析工具</w:t>
            </w:r>
            <w:r>
              <w:rPr>
                <w:rFonts w:hint="default" w:ascii="Times New Roman" w:hAnsi="Times New Roman" w:cs="Times New Roman"/>
                <w:color w:val="000000" w:themeColor="text1"/>
                <w:sz w:val="18"/>
                <w:szCs w:val="18"/>
              </w:rPr>
              <w:t>pandas</w:t>
            </w:r>
            <w:r>
              <w:rPr>
                <w:rFonts w:hint="eastAsia" w:cs="宋体"/>
                <w:color w:val="000000" w:themeColor="text1"/>
                <w:sz w:val="18"/>
                <w:szCs w:val="18"/>
              </w:rPr>
              <w:t>入门、统计计算与分组运算、数据清选、数据规整、数据分析与可视化。</w:t>
            </w:r>
          </w:p>
          <w:p w14:paraId="07594D7C">
            <w:pPr>
              <w:adjustRightInd w:val="0"/>
              <w:ind w:firstLine="360" w:firstLineChars="200"/>
              <w:jc w:val="left"/>
              <w:rPr>
                <w:rFonts w:hint="eastAsia" w:ascii="Times New Roman" w:hAnsi="Times New Roman" w:eastAsia="宋体" w:cs="Times New Roman"/>
                <w:color w:val="000000" w:themeColor="text1"/>
                <w:kern w:val="0"/>
                <w:sz w:val="18"/>
                <w:szCs w:val="18"/>
                <w:lang w:val="en-US" w:eastAsia="zh-CN" w:bidi="ar-SA"/>
              </w:rPr>
            </w:pPr>
            <w:r>
              <w:rPr>
                <w:rFonts w:hint="eastAsia" w:cs="宋体"/>
                <w:color w:val="000000" w:themeColor="text1"/>
                <w:sz w:val="18"/>
                <w:szCs w:val="18"/>
              </w:rPr>
              <w:t>教学要求：围绕大数据技术在财务分析中的应用场景设计教学项目，划分任务，设计案例，培养学生理解</w:t>
            </w:r>
            <w:r>
              <w:rPr>
                <w:rFonts w:hint="default" w:ascii="Times New Roman" w:hAnsi="Times New Roman" w:cs="Times New Roman"/>
                <w:color w:val="000000" w:themeColor="text1"/>
                <w:sz w:val="18"/>
                <w:szCs w:val="18"/>
              </w:rPr>
              <w:t>python</w:t>
            </w:r>
            <w:r>
              <w:rPr>
                <w:rFonts w:hint="eastAsia" w:cs="宋体"/>
                <w:color w:val="000000" w:themeColor="text1"/>
                <w:sz w:val="18"/>
                <w:szCs w:val="18"/>
              </w:rPr>
              <w:t>在财务中的实际应用。</w:t>
            </w:r>
          </w:p>
        </w:tc>
        <w:tc>
          <w:tcPr>
            <w:tcW w:w="1376" w:type="dxa"/>
            <w:tcBorders>
              <w:bottom w:val="single" w:color="auto" w:sz="4" w:space="0"/>
            </w:tcBorders>
            <w:shd w:val="clear" w:color="auto" w:fill="auto"/>
            <w:vAlign w:val="center"/>
          </w:tcPr>
          <w:p w14:paraId="48AE6F89">
            <w:pPr>
              <w:pStyle w:val="2"/>
              <w:jc w:val="center"/>
              <w:rPr>
                <w:color w:val="000000" w:themeColor="text1"/>
                <w:kern w:val="0"/>
                <w:sz w:val="18"/>
                <w:szCs w:val="18"/>
              </w:rPr>
            </w:pPr>
            <w:r>
              <w:rPr>
                <w:rFonts w:hint="eastAsia"/>
                <w:color w:val="000000" w:themeColor="text1"/>
                <w:kern w:val="0"/>
                <w:sz w:val="18"/>
                <w:szCs w:val="18"/>
              </w:rPr>
              <w:t>创新思维</w:t>
            </w:r>
          </w:p>
          <w:p w14:paraId="622F7791">
            <w:pPr>
              <w:pStyle w:val="2"/>
              <w:jc w:val="center"/>
              <w:rPr>
                <w:color w:val="000000" w:themeColor="text1"/>
                <w:kern w:val="0"/>
                <w:sz w:val="18"/>
                <w:szCs w:val="18"/>
              </w:rPr>
            </w:pPr>
            <w:r>
              <w:rPr>
                <w:rFonts w:hint="eastAsia"/>
                <w:color w:val="000000" w:themeColor="text1"/>
                <w:kern w:val="0"/>
                <w:sz w:val="18"/>
                <w:szCs w:val="18"/>
              </w:rPr>
              <w:t>法律意识</w:t>
            </w:r>
          </w:p>
          <w:p w14:paraId="1AD42E11">
            <w:pPr>
              <w:pStyle w:val="2"/>
              <w:jc w:val="center"/>
              <w:rPr>
                <w:color w:val="000000" w:themeColor="text1"/>
                <w:kern w:val="0"/>
                <w:sz w:val="18"/>
                <w:szCs w:val="18"/>
              </w:rPr>
            </w:pPr>
            <w:r>
              <w:rPr>
                <w:rFonts w:hint="eastAsia"/>
                <w:color w:val="000000" w:themeColor="text1"/>
                <w:kern w:val="0"/>
                <w:sz w:val="18"/>
                <w:szCs w:val="18"/>
              </w:rPr>
              <w:t>社会责任</w:t>
            </w:r>
          </w:p>
          <w:p w14:paraId="6ECB4605">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eastAsia"/>
                <w:color w:val="000000" w:themeColor="text1"/>
                <w:kern w:val="0"/>
                <w:sz w:val="18"/>
                <w:szCs w:val="18"/>
              </w:rPr>
              <w:t>安全意识</w:t>
            </w:r>
          </w:p>
        </w:tc>
        <w:tc>
          <w:tcPr>
            <w:tcW w:w="691" w:type="dxa"/>
            <w:tcBorders>
              <w:bottom w:val="single" w:color="auto" w:sz="4" w:space="0"/>
            </w:tcBorders>
            <w:shd w:val="clear" w:color="auto" w:fill="auto"/>
            <w:vAlign w:val="center"/>
          </w:tcPr>
          <w:p w14:paraId="62778BAC">
            <w:pPr>
              <w:pStyle w:val="2"/>
              <w:jc w:val="center"/>
              <w:rPr>
                <w:rFonts w:hint="eastAsia" w:ascii="Times New Roman" w:hAnsi="Times New Roman" w:eastAsia="宋体" w:cs="Times New Roman"/>
                <w:color w:val="000000" w:themeColor="text1"/>
                <w:kern w:val="0"/>
                <w:sz w:val="18"/>
                <w:szCs w:val="18"/>
                <w:lang w:val="en-US" w:eastAsia="zh-CN" w:bidi="ar-SA"/>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64</w:t>
            </w:r>
          </w:p>
        </w:tc>
      </w:tr>
      <w:tr w14:paraId="2EAC07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16" w:type="dxa"/>
            <w:tcBorders>
              <w:bottom w:val="single" w:color="auto" w:sz="4" w:space="0"/>
            </w:tcBorders>
            <w:shd w:val="clear" w:color="auto" w:fill="auto"/>
            <w:vAlign w:val="center"/>
          </w:tcPr>
          <w:p w14:paraId="17D28CFE">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6</w:t>
            </w:r>
          </w:p>
        </w:tc>
        <w:tc>
          <w:tcPr>
            <w:tcW w:w="940" w:type="dxa"/>
            <w:tcBorders>
              <w:bottom w:val="single" w:color="auto" w:sz="4" w:space="0"/>
            </w:tcBorders>
            <w:shd w:val="clear" w:color="auto" w:fill="auto"/>
            <w:vAlign w:val="center"/>
          </w:tcPr>
          <w:p w14:paraId="44780572">
            <w:pPr>
              <w:adjustRightInd w:val="0"/>
              <w:jc w:val="center"/>
              <w:rPr>
                <w:rFonts w:ascii="宋体" w:hAnsi="宋体" w:cs="宋体"/>
                <w:color w:val="000000" w:themeColor="text1"/>
                <w:sz w:val="18"/>
                <w:szCs w:val="18"/>
              </w:rPr>
            </w:pPr>
            <w:r>
              <w:rPr>
                <w:rFonts w:hint="eastAsia" w:ascii="宋体" w:hAnsi="宋体" w:cs="宋体"/>
                <w:color w:val="000000" w:themeColor="text1"/>
                <w:sz w:val="18"/>
                <w:szCs w:val="18"/>
              </w:rPr>
              <w:t>管理会计</w:t>
            </w:r>
          </w:p>
          <w:p w14:paraId="27AAF407">
            <w:pPr>
              <w:adjustRightInd w:val="0"/>
              <w:jc w:val="center"/>
              <w:rPr>
                <w:rFonts w:ascii="宋体" w:hAnsi="宋体" w:cs="宋体"/>
                <w:color w:val="000000" w:themeColor="text1"/>
                <w:sz w:val="18"/>
                <w:szCs w:val="18"/>
              </w:rPr>
            </w:pPr>
            <w:r>
              <w:rPr>
                <w:rFonts w:hint="eastAsia" w:ascii="宋体" w:hAnsi="宋体" w:cs="宋体"/>
                <w:color w:val="000000" w:themeColor="text1"/>
                <w:sz w:val="18"/>
                <w:szCs w:val="18"/>
              </w:rPr>
              <w:t>实务</w:t>
            </w:r>
          </w:p>
          <w:p w14:paraId="70AF1D53">
            <w:pPr>
              <w:pStyle w:val="2"/>
              <w:jc w:val="center"/>
              <w:rPr>
                <w:color w:val="000000" w:themeColor="text1"/>
                <w:kern w:val="0"/>
                <w:sz w:val="18"/>
                <w:szCs w:val="18"/>
              </w:rPr>
            </w:pPr>
          </w:p>
        </w:tc>
        <w:tc>
          <w:tcPr>
            <w:tcW w:w="2218" w:type="dxa"/>
            <w:tcBorders>
              <w:bottom w:val="single" w:color="auto" w:sz="4" w:space="0"/>
            </w:tcBorders>
            <w:shd w:val="clear" w:color="auto" w:fill="auto"/>
            <w:vAlign w:val="center"/>
          </w:tcPr>
          <w:p w14:paraId="27FBFAC6">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变动成本法运用</w:t>
            </w:r>
          </w:p>
          <w:p w14:paraId="1A0D41A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营运管理</w:t>
            </w:r>
          </w:p>
          <w:p w14:paraId="48D8B8F2">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预测分析</w:t>
            </w:r>
          </w:p>
          <w:p w14:paraId="4A54B98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预算管理</w:t>
            </w:r>
          </w:p>
          <w:p w14:paraId="402292F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生产经营决策</w:t>
            </w:r>
          </w:p>
          <w:p w14:paraId="12B8E11E">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长期投资决策</w:t>
            </w:r>
          </w:p>
          <w:p w14:paraId="33DD8E1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7</w:t>
            </w:r>
            <w:r>
              <w:rPr>
                <w:rFonts w:hint="eastAsia"/>
                <w:color w:val="000000" w:themeColor="text1"/>
                <w:kern w:val="0"/>
                <w:sz w:val="18"/>
                <w:szCs w:val="18"/>
              </w:rPr>
              <w:t xml:space="preserve"> 成本控制</w:t>
            </w:r>
          </w:p>
          <w:p w14:paraId="3A7DFE2B">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8</w:t>
            </w:r>
            <w:r>
              <w:rPr>
                <w:rFonts w:hint="eastAsia"/>
                <w:color w:val="000000" w:themeColor="text1"/>
                <w:kern w:val="0"/>
                <w:sz w:val="18"/>
                <w:szCs w:val="18"/>
              </w:rPr>
              <w:t xml:space="preserve"> 战略与风险管理</w:t>
            </w:r>
          </w:p>
          <w:p w14:paraId="670B2DD5">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6</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9</w:t>
            </w:r>
            <w:r>
              <w:rPr>
                <w:rFonts w:hint="eastAsia"/>
                <w:color w:val="000000" w:themeColor="text1"/>
                <w:kern w:val="0"/>
                <w:sz w:val="18"/>
                <w:szCs w:val="18"/>
              </w:rPr>
              <w:t xml:space="preserve"> 责任会计与绩效管理</w:t>
            </w:r>
          </w:p>
        </w:tc>
        <w:tc>
          <w:tcPr>
            <w:tcW w:w="2932" w:type="dxa"/>
            <w:tcBorders>
              <w:bottom w:val="single" w:color="auto" w:sz="4" w:space="0"/>
            </w:tcBorders>
            <w:shd w:val="clear" w:color="auto" w:fill="auto"/>
            <w:vAlign w:val="center"/>
          </w:tcPr>
          <w:p w14:paraId="165A688E">
            <w:pPr>
              <w:pStyle w:val="7"/>
              <w:adjustRightInd w:val="0"/>
              <w:spacing w:line="240" w:lineRule="auto"/>
              <w:ind w:firstLine="360" w:firstLineChars="200"/>
              <w:rPr>
                <w:rFonts w:cs="宋体"/>
                <w:color w:val="000000" w:themeColor="text1"/>
                <w:sz w:val="18"/>
                <w:szCs w:val="18"/>
              </w:rPr>
            </w:pPr>
            <w:r>
              <w:rPr>
                <w:rFonts w:hint="eastAsia" w:cs="宋体"/>
                <w:color w:val="000000" w:themeColor="text1"/>
                <w:sz w:val="18"/>
                <w:szCs w:val="18"/>
              </w:rPr>
              <w:t>主要内容：管理会计体系的内容；预算的类型及其编制的方法；成本管理领域应用的工具方法；本量利分析的基本原理，保本点分析和目标利润管理的方法；投资、融资管理程序，投融资管理的主要方法；关键绩效指标法的计算和应用，经济增加和平衡计分卡的基本原理和应用；管理会计报告的内容及编制要求。</w:t>
            </w:r>
          </w:p>
          <w:p w14:paraId="41CD2214">
            <w:pPr>
              <w:pStyle w:val="7"/>
              <w:adjustRightInd w:val="0"/>
              <w:spacing w:line="240" w:lineRule="auto"/>
              <w:ind w:firstLine="360" w:firstLineChars="200"/>
              <w:rPr>
                <w:rFonts w:ascii="Times New Roman" w:hAnsi="Times New Roman"/>
                <w:color w:val="000000" w:themeColor="text1"/>
                <w:kern w:val="0"/>
                <w:sz w:val="18"/>
                <w:szCs w:val="18"/>
              </w:rPr>
            </w:pPr>
            <w:r>
              <w:rPr>
                <w:rFonts w:hint="eastAsia" w:cs="宋体"/>
                <w:color w:val="000000" w:themeColor="text1"/>
                <w:sz w:val="18"/>
                <w:szCs w:val="18"/>
              </w:rPr>
              <w:t>教学要求：熟悉管理会计的目标、原则、要素，掌握《管理会计基本指引》和《管理会计应用指引》基本内容。领会和运用战略管理、预算管理、成本管理、营运管理、投融资管理、绩效管理以及管理会计报告和管理会计信息系统等领域所应用的各种工具和方法。</w:t>
            </w:r>
          </w:p>
        </w:tc>
        <w:tc>
          <w:tcPr>
            <w:tcW w:w="1376" w:type="dxa"/>
            <w:tcBorders>
              <w:bottom w:val="single" w:color="auto" w:sz="4" w:space="0"/>
            </w:tcBorders>
            <w:shd w:val="clear" w:color="auto" w:fill="auto"/>
            <w:vAlign w:val="center"/>
          </w:tcPr>
          <w:p w14:paraId="39A035A1">
            <w:pPr>
              <w:pStyle w:val="2"/>
              <w:jc w:val="center"/>
              <w:rPr>
                <w:color w:val="000000" w:themeColor="text1"/>
                <w:kern w:val="0"/>
                <w:sz w:val="18"/>
                <w:szCs w:val="18"/>
              </w:rPr>
            </w:pPr>
            <w:r>
              <w:rPr>
                <w:rFonts w:hint="eastAsia"/>
                <w:color w:val="000000" w:themeColor="text1"/>
                <w:kern w:val="0"/>
                <w:sz w:val="18"/>
                <w:szCs w:val="18"/>
              </w:rPr>
              <w:t>风险意识</w:t>
            </w:r>
          </w:p>
          <w:p w14:paraId="4A884B44">
            <w:pPr>
              <w:pStyle w:val="2"/>
              <w:jc w:val="center"/>
              <w:rPr>
                <w:color w:val="000000" w:themeColor="text1"/>
                <w:kern w:val="0"/>
                <w:sz w:val="18"/>
                <w:szCs w:val="18"/>
              </w:rPr>
            </w:pPr>
            <w:r>
              <w:rPr>
                <w:rFonts w:hint="eastAsia"/>
                <w:color w:val="000000" w:themeColor="text1"/>
                <w:kern w:val="0"/>
                <w:sz w:val="18"/>
                <w:szCs w:val="18"/>
              </w:rPr>
              <w:t>事前谋划</w:t>
            </w:r>
          </w:p>
          <w:p w14:paraId="4158A6B8">
            <w:pPr>
              <w:pStyle w:val="2"/>
              <w:jc w:val="center"/>
              <w:rPr>
                <w:color w:val="000000" w:themeColor="text1"/>
                <w:kern w:val="0"/>
                <w:sz w:val="18"/>
                <w:szCs w:val="18"/>
              </w:rPr>
            </w:pPr>
            <w:r>
              <w:rPr>
                <w:rFonts w:hint="eastAsia"/>
                <w:color w:val="000000" w:themeColor="text1"/>
                <w:kern w:val="0"/>
                <w:sz w:val="18"/>
                <w:szCs w:val="18"/>
              </w:rPr>
              <w:t>正确财富观</w:t>
            </w:r>
          </w:p>
        </w:tc>
        <w:tc>
          <w:tcPr>
            <w:tcW w:w="691" w:type="dxa"/>
            <w:tcBorders>
              <w:bottom w:val="single" w:color="auto" w:sz="4" w:space="0"/>
            </w:tcBorders>
            <w:shd w:val="clear" w:color="auto" w:fill="auto"/>
            <w:vAlign w:val="center"/>
          </w:tcPr>
          <w:p w14:paraId="31485A8F">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64</w:t>
            </w:r>
          </w:p>
        </w:tc>
      </w:tr>
      <w:tr w14:paraId="3903804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16" w:type="dxa"/>
            <w:shd w:val="clear" w:color="auto" w:fill="auto"/>
            <w:vAlign w:val="center"/>
          </w:tcPr>
          <w:p w14:paraId="6F3694F6">
            <w:pPr>
              <w:pStyle w:val="2"/>
              <w:jc w:val="center"/>
              <w:rPr>
                <w:rFonts w:hint="eastAsia" w:eastAsia="宋体"/>
                <w:color w:val="000000" w:themeColor="text1"/>
                <w:kern w:val="0"/>
                <w:sz w:val="18"/>
                <w:szCs w:val="18"/>
                <w:lang w:val="en-US" w:eastAsia="zh-CN"/>
              </w:rPr>
            </w:pPr>
            <w:r>
              <w:rPr>
                <w:rFonts w:hint="default" w:ascii="Times New Roman" w:hAnsi="Times New Roman" w:cs="Times New Roman"/>
                <w:color w:val="000000" w:themeColor="text1"/>
                <w:kern w:val="0"/>
                <w:sz w:val="18"/>
                <w:szCs w:val="18"/>
                <w:lang w:val="en-US" w:eastAsia="zh-CN"/>
              </w:rPr>
              <w:t>7</w:t>
            </w:r>
          </w:p>
        </w:tc>
        <w:tc>
          <w:tcPr>
            <w:tcW w:w="940" w:type="dxa"/>
            <w:shd w:val="clear" w:color="auto" w:fill="auto"/>
            <w:vAlign w:val="center"/>
          </w:tcPr>
          <w:p w14:paraId="5EE2AF35">
            <w:pPr>
              <w:adjustRightInd w:val="0"/>
              <w:jc w:val="center"/>
              <w:rPr>
                <w:rFonts w:ascii="宋体" w:hAnsi="宋体" w:cs="宋体"/>
                <w:color w:val="000000" w:themeColor="text1"/>
                <w:sz w:val="18"/>
                <w:szCs w:val="18"/>
              </w:rPr>
            </w:pPr>
            <w:r>
              <w:rPr>
                <w:rFonts w:hint="eastAsia" w:ascii="宋体" w:hAnsi="宋体" w:cs="宋体"/>
                <w:color w:val="000000" w:themeColor="text1"/>
                <w:sz w:val="18"/>
                <w:szCs w:val="18"/>
              </w:rPr>
              <w:t>财务大数</w:t>
            </w:r>
          </w:p>
          <w:p w14:paraId="1C5BF94E">
            <w:pPr>
              <w:adjustRightInd w:val="0"/>
              <w:jc w:val="center"/>
              <w:rPr>
                <w:color w:val="000000" w:themeColor="text1"/>
                <w:kern w:val="0"/>
                <w:sz w:val="18"/>
                <w:szCs w:val="18"/>
              </w:rPr>
            </w:pPr>
            <w:r>
              <w:rPr>
                <w:rFonts w:hint="eastAsia" w:ascii="宋体" w:hAnsi="宋体" w:cs="宋体"/>
                <w:color w:val="000000" w:themeColor="text1"/>
                <w:sz w:val="18"/>
                <w:szCs w:val="18"/>
              </w:rPr>
              <w:t>据分析</w:t>
            </w:r>
          </w:p>
        </w:tc>
        <w:tc>
          <w:tcPr>
            <w:tcW w:w="2218" w:type="dxa"/>
            <w:shd w:val="clear" w:color="auto" w:fill="auto"/>
            <w:vAlign w:val="center"/>
          </w:tcPr>
          <w:p w14:paraId="46FC61F1">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1</w:t>
            </w:r>
            <w:r>
              <w:rPr>
                <w:rFonts w:hint="eastAsia"/>
                <w:color w:val="000000" w:themeColor="text1"/>
                <w:kern w:val="0"/>
                <w:sz w:val="18"/>
                <w:szCs w:val="18"/>
              </w:rPr>
              <w:t xml:space="preserve"> 财务数据采集</w:t>
            </w:r>
          </w:p>
          <w:p w14:paraId="5F46D700">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2</w:t>
            </w:r>
            <w:r>
              <w:rPr>
                <w:rFonts w:hint="eastAsia"/>
                <w:color w:val="000000" w:themeColor="text1"/>
                <w:kern w:val="0"/>
                <w:sz w:val="18"/>
                <w:szCs w:val="18"/>
              </w:rPr>
              <w:t xml:space="preserve"> 财务数据预处理</w:t>
            </w:r>
          </w:p>
          <w:p w14:paraId="3CA38918">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3</w:t>
            </w:r>
            <w:r>
              <w:rPr>
                <w:rFonts w:hint="eastAsia"/>
                <w:color w:val="000000" w:themeColor="text1"/>
                <w:kern w:val="0"/>
                <w:sz w:val="18"/>
                <w:szCs w:val="18"/>
              </w:rPr>
              <w:t xml:space="preserve"> 行业竞争力分析</w:t>
            </w:r>
          </w:p>
          <w:p w14:paraId="08D7798C">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4</w:t>
            </w:r>
            <w:r>
              <w:rPr>
                <w:rFonts w:hint="eastAsia"/>
                <w:color w:val="000000" w:themeColor="text1"/>
                <w:kern w:val="0"/>
                <w:sz w:val="18"/>
                <w:szCs w:val="18"/>
              </w:rPr>
              <w:t xml:space="preserve"> 财务报表分析</w:t>
            </w:r>
          </w:p>
          <w:p w14:paraId="4502CFCE">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5</w:t>
            </w:r>
            <w:r>
              <w:rPr>
                <w:rFonts w:hint="eastAsia"/>
                <w:color w:val="000000" w:themeColor="text1"/>
                <w:kern w:val="0"/>
                <w:sz w:val="18"/>
                <w:szCs w:val="18"/>
              </w:rPr>
              <w:t xml:space="preserve"> 经营数据分析</w:t>
            </w:r>
          </w:p>
          <w:p w14:paraId="6C5C3C3F">
            <w:pPr>
              <w:pStyle w:val="2"/>
              <w:jc w:val="left"/>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7</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rPr>
              <w:t>6</w:t>
            </w:r>
            <w:r>
              <w:rPr>
                <w:rFonts w:hint="eastAsia"/>
                <w:color w:val="000000" w:themeColor="text1"/>
                <w:kern w:val="0"/>
                <w:sz w:val="18"/>
                <w:szCs w:val="18"/>
              </w:rPr>
              <w:t xml:space="preserve"> 大数据财税风险预警</w:t>
            </w:r>
          </w:p>
        </w:tc>
        <w:tc>
          <w:tcPr>
            <w:tcW w:w="2932" w:type="dxa"/>
            <w:shd w:val="clear" w:color="auto" w:fill="auto"/>
            <w:vAlign w:val="center"/>
          </w:tcPr>
          <w:p w14:paraId="1586B2B9">
            <w:pPr>
              <w:adjustRightInd w:val="0"/>
              <w:ind w:firstLine="360" w:firstLineChars="200"/>
              <w:rPr>
                <w:rFonts w:cs="宋体"/>
                <w:color w:val="000000" w:themeColor="text1"/>
                <w:sz w:val="18"/>
                <w:szCs w:val="18"/>
              </w:rPr>
            </w:pPr>
            <w:r>
              <w:rPr>
                <w:rFonts w:hint="eastAsia" w:cs="宋体"/>
                <w:color w:val="000000" w:themeColor="text1"/>
                <w:sz w:val="18"/>
                <w:szCs w:val="18"/>
              </w:rPr>
              <w:t>主要内容：</w:t>
            </w:r>
            <w:r>
              <w:rPr>
                <w:rFonts w:cs="宋体"/>
                <w:color w:val="000000" w:themeColor="text1"/>
                <w:sz w:val="18"/>
                <w:szCs w:val="18"/>
              </w:rPr>
              <w:t>财务</w:t>
            </w:r>
            <w:r>
              <w:rPr>
                <w:rFonts w:hint="eastAsia" w:cs="宋体"/>
                <w:color w:val="000000" w:themeColor="text1"/>
                <w:sz w:val="18"/>
                <w:szCs w:val="18"/>
              </w:rPr>
              <w:t>大数据</w:t>
            </w:r>
            <w:r>
              <w:rPr>
                <w:rFonts w:cs="宋体"/>
                <w:color w:val="000000" w:themeColor="text1"/>
                <w:sz w:val="18"/>
                <w:szCs w:val="18"/>
              </w:rPr>
              <w:t>分析是</w:t>
            </w:r>
            <w:r>
              <w:rPr>
                <w:rFonts w:hint="eastAsia" w:cs="宋体"/>
                <w:color w:val="000000" w:themeColor="text1"/>
                <w:sz w:val="18"/>
                <w:szCs w:val="18"/>
              </w:rPr>
              <w:t>运用大数据技术对财务数据进行多维度分析，撰写财务大数据分析分部报告和总报告，提供分析结论和管理决策建议。</w:t>
            </w:r>
          </w:p>
          <w:p w14:paraId="5889AE10">
            <w:pPr>
              <w:adjustRightInd w:val="0"/>
              <w:ind w:firstLine="360" w:firstLineChars="200"/>
              <w:rPr>
                <w:color w:val="000000" w:themeColor="text1"/>
                <w:kern w:val="0"/>
                <w:sz w:val="18"/>
                <w:szCs w:val="18"/>
              </w:rPr>
            </w:pPr>
            <w:r>
              <w:rPr>
                <w:rFonts w:hint="eastAsia" w:ascii="宋体" w:hAnsi="宋体" w:cs="宋体"/>
                <w:color w:val="000000" w:themeColor="text1"/>
                <w:sz w:val="18"/>
                <w:szCs w:val="18"/>
              </w:rPr>
              <w:t>教学要求：</w:t>
            </w:r>
            <w:r>
              <w:rPr>
                <w:rFonts w:cs="宋体"/>
                <w:color w:val="000000" w:themeColor="text1"/>
                <w:sz w:val="18"/>
                <w:szCs w:val="18"/>
              </w:rPr>
              <w:t>收集、整理企业财务会计报告中的有关数据，并结合其他有关补充信息，</w:t>
            </w:r>
            <w:r>
              <w:rPr>
                <w:rFonts w:hint="eastAsia" w:cs="宋体"/>
                <w:color w:val="000000" w:themeColor="text1"/>
                <w:sz w:val="18"/>
                <w:szCs w:val="18"/>
              </w:rPr>
              <w:t>运用大数据技术</w:t>
            </w:r>
            <w:r>
              <w:rPr>
                <w:rFonts w:cs="宋体"/>
                <w:color w:val="000000" w:themeColor="text1"/>
                <w:sz w:val="18"/>
                <w:szCs w:val="18"/>
              </w:rPr>
              <w:t>对企业的财务状况、经营成果和现金流量情况进行综合比较和评价，为财务会计报告使用者提供管理决策和控制依据。</w:t>
            </w:r>
          </w:p>
        </w:tc>
        <w:tc>
          <w:tcPr>
            <w:tcW w:w="1376" w:type="dxa"/>
            <w:shd w:val="clear" w:color="auto" w:fill="auto"/>
            <w:vAlign w:val="center"/>
          </w:tcPr>
          <w:p w14:paraId="61E0ACDB">
            <w:pPr>
              <w:pStyle w:val="2"/>
              <w:jc w:val="center"/>
              <w:rPr>
                <w:color w:val="000000" w:themeColor="text1"/>
                <w:kern w:val="0"/>
                <w:sz w:val="18"/>
                <w:szCs w:val="18"/>
              </w:rPr>
            </w:pPr>
            <w:r>
              <w:rPr>
                <w:rFonts w:hint="eastAsia"/>
                <w:color w:val="000000" w:themeColor="text1"/>
                <w:kern w:val="0"/>
                <w:sz w:val="18"/>
                <w:szCs w:val="18"/>
              </w:rPr>
              <w:t>大局意识</w:t>
            </w:r>
          </w:p>
          <w:p w14:paraId="624E071F">
            <w:pPr>
              <w:pStyle w:val="2"/>
              <w:jc w:val="center"/>
              <w:rPr>
                <w:color w:val="000000" w:themeColor="text1"/>
                <w:kern w:val="0"/>
                <w:sz w:val="18"/>
                <w:szCs w:val="18"/>
              </w:rPr>
            </w:pPr>
            <w:r>
              <w:rPr>
                <w:rFonts w:hint="eastAsia"/>
                <w:color w:val="000000" w:themeColor="text1"/>
                <w:kern w:val="0"/>
                <w:sz w:val="18"/>
                <w:szCs w:val="18"/>
              </w:rPr>
              <w:t>保守秘密</w:t>
            </w:r>
          </w:p>
          <w:p w14:paraId="3DB56851">
            <w:pPr>
              <w:pStyle w:val="2"/>
              <w:jc w:val="center"/>
              <w:rPr>
                <w:color w:val="000000" w:themeColor="text1"/>
                <w:kern w:val="0"/>
                <w:sz w:val="18"/>
                <w:szCs w:val="18"/>
              </w:rPr>
            </w:pPr>
            <w:r>
              <w:rPr>
                <w:rFonts w:hint="eastAsia"/>
                <w:color w:val="000000" w:themeColor="text1"/>
                <w:kern w:val="0"/>
                <w:sz w:val="18"/>
                <w:szCs w:val="18"/>
              </w:rPr>
              <w:t>公正法治</w:t>
            </w:r>
          </w:p>
        </w:tc>
        <w:tc>
          <w:tcPr>
            <w:tcW w:w="691" w:type="dxa"/>
            <w:shd w:val="clear" w:color="auto" w:fill="auto"/>
            <w:vAlign w:val="center"/>
          </w:tcPr>
          <w:p w14:paraId="560A3F76">
            <w:pPr>
              <w:pStyle w:val="2"/>
              <w:jc w:val="center"/>
              <w:rPr>
                <w:color w:val="000000" w:themeColor="text1"/>
                <w:kern w:val="0"/>
                <w:sz w:val="18"/>
                <w:szCs w:val="18"/>
              </w:rPr>
            </w:pPr>
            <w:r>
              <w:rPr>
                <w:rFonts w:hint="default" w:ascii="Times New Roman" w:hAnsi="Times New Roman" w:cs="Times New Roman"/>
                <w:color w:val="000000" w:themeColor="text1"/>
                <w:kern w:val="0"/>
                <w:sz w:val="18"/>
                <w:szCs w:val="18"/>
                <w:lang w:val="en-US" w:eastAsia="zh-CN"/>
              </w:rPr>
              <w:t>3</w:t>
            </w:r>
            <w:r>
              <w:rPr>
                <w:rFonts w:hint="eastAsia"/>
                <w:color w:val="000000" w:themeColor="text1"/>
                <w:kern w:val="0"/>
                <w:sz w:val="18"/>
                <w:szCs w:val="18"/>
              </w:rPr>
              <w:t>/</w:t>
            </w:r>
            <w:r>
              <w:rPr>
                <w:rFonts w:hint="default" w:ascii="Times New Roman" w:hAnsi="Times New Roman" w:cs="Times New Roman"/>
                <w:color w:val="000000" w:themeColor="text1"/>
                <w:kern w:val="0"/>
                <w:sz w:val="18"/>
                <w:szCs w:val="18"/>
                <w:lang w:val="en-US" w:eastAsia="zh-CN"/>
              </w:rPr>
              <w:t>56</w:t>
            </w:r>
          </w:p>
        </w:tc>
      </w:tr>
    </w:tbl>
    <w:p w14:paraId="792C796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b/>
          <w:bCs/>
          <w:color w:val="000000"/>
          <w:kern w:val="0"/>
          <w:szCs w:val="21"/>
        </w:rPr>
      </w:pPr>
      <w:r>
        <w:rPr>
          <w:b/>
          <w:bCs/>
          <w:color w:val="000000"/>
          <w:kern w:val="0"/>
          <w:szCs w:val="21"/>
        </w:rPr>
        <w:t>（四）综合实践课</w:t>
      </w:r>
    </w:p>
    <w:p w14:paraId="0108E002">
      <w:pPr>
        <w:pStyle w:val="2"/>
        <w:spacing w:line="240" w:lineRule="auto"/>
        <w:ind w:firstLine="361" w:firstLineChars="200"/>
        <w:jc w:val="center"/>
        <w:rPr>
          <w:b/>
          <w:bCs/>
          <w:color w:val="000000"/>
          <w:sz w:val="18"/>
          <w:szCs w:val="18"/>
        </w:rPr>
      </w:pPr>
      <w:r>
        <w:rPr>
          <w:b/>
          <w:bCs/>
          <w:color w:val="000000"/>
          <w:sz w:val="18"/>
          <w:szCs w:val="18"/>
        </w:rPr>
        <w:t>表</w:t>
      </w:r>
      <w:r>
        <w:rPr>
          <w:rFonts w:hint="default" w:ascii="Times New Roman" w:hAnsi="Times New Roman" w:cs="Times New Roman"/>
          <w:b/>
          <w:bCs/>
          <w:color w:val="000000"/>
          <w:sz w:val="18"/>
          <w:szCs w:val="18"/>
        </w:rPr>
        <w:t>7</w:t>
      </w:r>
      <w:r>
        <w:rPr>
          <w:rFonts w:hint="eastAsia"/>
          <w:b/>
          <w:bCs/>
          <w:color w:val="000000"/>
          <w:sz w:val="18"/>
          <w:szCs w:val="18"/>
        </w:rPr>
        <w:t xml:space="preserve">  </w:t>
      </w:r>
      <w:r>
        <w:rPr>
          <w:b/>
          <w:bCs/>
          <w:color w:val="000000"/>
          <w:sz w:val="18"/>
          <w:szCs w:val="18"/>
        </w:rPr>
        <w:t xml:space="preserve"> 综合实践课程主要教学内容与要求</w:t>
      </w:r>
    </w:p>
    <w:tbl>
      <w:tblPr>
        <w:tblStyle w:val="13"/>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48"/>
        <w:gridCol w:w="750"/>
        <w:gridCol w:w="870"/>
        <w:gridCol w:w="6139"/>
      </w:tblGrid>
      <w:tr w14:paraId="5C74A36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48" w:type="dxa"/>
            <w:shd w:val="clear" w:color="auto" w:fill="auto"/>
          </w:tcPr>
          <w:p w14:paraId="4AECBC1E">
            <w:pPr>
              <w:pStyle w:val="2"/>
              <w:jc w:val="center"/>
              <w:rPr>
                <w:kern w:val="0"/>
                <w:sz w:val="18"/>
                <w:szCs w:val="18"/>
              </w:rPr>
            </w:pPr>
            <w:r>
              <w:rPr>
                <w:kern w:val="0"/>
                <w:sz w:val="18"/>
                <w:szCs w:val="18"/>
              </w:rPr>
              <w:t>实践环节</w:t>
            </w:r>
          </w:p>
        </w:tc>
        <w:tc>
          <w:tcPr>
            <w:tcW w:w="750" w:type="dxa"/>
            <w:shd w:val="clear" w:color="auto" w:fill="auto"/>
          </w:tcPr>
          <w:p w14:paraId="7540A628">
            <w:pPr>
              <w:pStyle w:val="2"/>
              <w:jc w:val="center"/>
              <w:rPr>
                <w:kern w:val="0"/>
                <w:sz w:val="18"/>
                <w:szCs w:val="18"/>
              </w:rPr>
            </w:pPr>
            <w:r>
              <w:rPr>
                <w:kern w:val="0"/>
                <w:sz w:val="18"/>
                <w:szCs w:val="18"/>
              </w:rPr>
              <w:t>学期</w:t>
            </w:r>
          </w:p>
        </w:tc>
        <w:tc>
          <w:tcPr>
            <w:tcW w:w="870" w:type="dxa"/>
            <w:shd w:val="clear" w:color="auto" w:fill="auto"/>
          </w:tcPr>
          <w:p w14:paraId="343F646B">
            <w:pPr>
              <w:pStyle w:val="2"/>
              <w:jc w:val="center"/>
              <w:rPr>
                <w:kern w:val="0"/>
                <w:sz w:val="18"/>
                <w:szCs w:val="18"/>
              </w:rPr>
            </w:pPr>
            <w:r>
              <w:rPr>
                <w:kern w:val="0"/>
                <w:sz w:val="18"/>
                <w:szCs w:val="18"/>
              </w:rPr>
              <w:t>周数</w:t>
            </w:r>
          </w:p>
        </w:tc>
        <w:tc>
          <w:tcPr>
            <w:tcW w:w="6139" w:type="dxa"/>
            <w:shd w:val="clear" w:color="auto" w:fill="auto"/>
          </w:tcPr>
          <w:p w14:paraId="0C59014F">
            <w:pPr>
              <w:pStyle w:val="2"/>
              <w:jc w:val="center"/>
              <w:rPr>
                <w:kern w:val="0"/>
                <w:sz w:val="18"/>
                <w:szCs w:val="18"/>
              </w:rPr>
            </w:pPr>
            <w:r>
              <w:rPr>
                <w:kern w:val="0"/>
                <w:sz w:val="18"/>
                <w:szCs w:val="18"/>
              </w:rPr>
              <w:t>主要内容及要求</w:t>
            </w:r>
          </w:p>
        </w:tc>
      </w:tr>
      <w:tr w14:paraId="4AD246D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4" w:hRule="atLeast"/>
          <w:jc w:val="center"/>
        </w:trPr>
        <w:tc>
          <w:tcPr>
            <w:tcW w:w="1148" w:type="dxa"/>
            <w:shd w:val="clear" w:color="auto" w:fill="auto"/>
            <w:vAlign w:val="center"/>
          </w:tcPr>
          <w:p w14:paraId="63320A87">
            <w:pPr>
              <w:adjustRightInd w:val="0"/>
              <w:snapToGrid w:val="0"/>
              <w:jc w:val="center"/>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lang w:val="en-US" w:eastAsia="zh-CN"/>
              </w:rPr>
              <w:t>税务</w:t>
            </w:r>
            <w:r>
              <w:rPr>
                <w:rFonts w:hint="eastAsia" w:ascii="宋体" w:hAnsi="宋体" w:cs="宋体"/>
                <w:color w:val="000000" w:themeColor="text1"/>
                <w:sz w:val="18"/>
                <w:szCs w:val="18"/>
              </w:rPr>
              <w:t>综合实训</w:t>
            </w:r>
          </w:p>
        </w:tc>
        <w:tc>
          <w:tcPr>
            <w:tcW w:w="750" w:type="dxa"/>
            <w:shd w:val="clear" w:color="auto" w:fill="auto"/>
            <w:vAlign w:val="center"/>
          </w:tcPr>
          <w:p w14:paraId="0B9D9328">
            <w:pPr>
              <w:adjustRightInd w:val="0"/>
              <w:snapToGrid w:val="0"/>
              <w:jc w:val="center"/>
              <w:rPr>
                <w:rFonts w:hint="eastAsia" w:ascii="宋体" w:hAnsi="宋体" w:eastAsia="宋体" w:cs="宋体"/>
                <w:color w:val="000000" w:themeColor="text1"/>
                <w:kern w:val="2"/>
                <w:sz w:val="18"/>
                <w:szCs w:val="18"/>
                <w:lang w:val="en-US" w:eastAsia="zh-CN" w:bidi="ar-SA"/>
              </w:rPr>
            </w:pPr>
            <w:r>
              <w:rPr>
                <w:rFonts w:hint="default" w:ascii="Times New Roman" w:hAnsi="Times New Roman" w:cs="Times New Roman"/>
                <w:color w:val="000000" w:themeColor="text1"/>
                <w:sz w:val="18"/>
                <w:szCs w:val="18"/>
                <w:lang w:val="en-US" w:eastAsia="zh-CN"/>
              </w:rPr>
              <w:t>2</w:t>
            </w:r>
          </w:p>
        </w:tc>
        <w:tc>
          <w:tcPr>
            <w:tcW w:w="870" w:type="dxa"/>
            <w:shd w:val="clear" w:color="auto" w:fill="auto"/>
            <w:vAlign w:val="center"/>
          </w:tcPr>
          <w:p w14:paraId="5A7574A9">
            <w:pPr>
              <w:adjustRightInd w:val="0"/>
              <w:snapToGrid w:val="0"/>
              <w:jc w:val="center"/>
              <w:rPr>
                <w:rFonts w:hint="eastAsia" w:ascii="宋体" w:hAnsi="宋体" w:eastAsia="宋体" w:cs="宋体"/>
                <w:color w:val="000000" w:themeColor="text1"/>
                <w:kern w:val="2"/>
                <w:sz w:val="18"/>
                <w:szCs w:val="18"/>
                <w:lang w:val="en-US" w:eastAsia="zh-CN" w:bidi="ar-SA"/>
              </w:rPr>
            </w:pPr>
            <w:r>
              <w:rPr>
                <w:rFonts w:hint="default" w:ascii="Times New Roman" w:hAnsi="Times New Roman" w:cs="Times New Roman"/>
                <w:color w:val="000000" w:themeColor="text1"/>
                <w:sz w:val="18"/>
                <w:szCs w:val="18"/>
              </w:rPr>
              <w:t>1</w:t>
            </w:r>
          </w:p>
        </w:tc>
        <w:tc>
          <w:tcPr>
            <w:tcW w:w="6139" w:type="dxa"/>
            <w:shd w:val="clear" w:color="auto" w:fill="auto"/>
            <w:vAlign w:val="center"/>
          </w:tcPr>
          <w:p w14:paraId="2FD4E327">
            <w:pPr>
              <w:numPr>
                <w:ilvl w:val="0"/>
                <w:numId w:val="4"/>
              </w:numPr>
              <w:adjustRightInd w:val="0"/>
              <w:snapToGrid w:val="0"/>
              <w:ind w:left="420" w:leftChars="0" w:hanging="420" w:firstLineChars="0"/>
              <w:jc w:val="left"/>
              <w:rPr>
                <w:rFonts w:hint="eastAsia" w:ascii="宋体" w:hAnsi="宋体" w:eastAsia="宋体" w:cs="宋体"/>
                <w:color w:val="000000" w:themeColor="text1"/>
                <w:kern w:val="2"/>
                <w:sz w:val="18"/>
                <w:szCs w:val="18"/>
                <w:lang w:val="en-US" w:eastAsia="zh-CN" w:bidi="ar-SA"/>
              </w:rPr>
            </w:pPr>
            <w:r>
              <w:rPr>
                <w:rFonts w:hint="eastAsia" w:ascii="宋体" w:hAnsi="宋体" w:cs="宋体"/>
                <w:color w:val="000000" w:themeColor="text1"/>
                <w:sz w:val="18"/>
                <w:szCs w:val="18"/>
                <w:lang w:val="en-US" w:eastAsia="zh-CN"/>
              </w:rPr>
              <w:t>负责电子税务局开票业务；</w:t>
            </w:r>
          </w:p>
          <w:p w14:paraId="7A3F302E">
            <w:pPr>
              <w:pStyle w:val="6"/>
              <w:numPr>
                <w:ilvl w:val="0"/>
                <w:numId w:val="5"/>
              </w:numPr>
              <w:ind w:left="420" w:leftChars="0" w:hanging="420" w:firstLineChars="0"/>
              <w:rPr>
                <w:rFonts w:hint="eastAsia" w:cs="宋体"/>
                <w:color w:val="000000" w:themeColor="text1"/>
                <w:sz w:val="18"/>
                <w:szCs w:val="18"/>
                <w:lang w:val="en-US" w:eastAsia="zh-CN"/>
              </w:rPr>
            </w:pPr>
            <w:r>
              <w:rPr>
                <w:rFonts w:hint="eastAsia" w:cs="宋体"/>
                <w:color w:val="000000" w:themeColor="text1"/>
                <w:sz w:val="18"/>
                <w:szCs w:val="18"/>
                <w:lang w:val="en-US" w:eastAsia="zh-CN"/>
              </w:rPr>
              <w:t>完成涉税业务分析与处理；</w:t>
            </w:r>
          </w:p>
          <w:p w14:paraId="6D0A9153">
            <w:pPr>
              <w:pStyle w:val="6"/>
              <w:numPr>
                <w:ilvl w:val="0"/>
                <w:numId w:val="5"/>
              </w:numPr>
              <w:ind w:left="420" w:leftChars="0" w:hanging="420" w:firstLineChars="0"/>
              <w:rPr>
                <w:rFonts w:hint="eastAsia" w:cs="宋体"/>
                <w:color w:val="000000" w:themeColor="text1"/>
                <w:sz w:val="18"/>
                <w:szCs w:val="18"/>
                <w:lang w:val="en-US" w:eastAsia="zh-CN"/>
              </w:rPr>
            </w:pPr>
            <w:r>
              <w:rPr>
                <w:rFonts w:hint="eastAsia" w:cs="宋体"/>
                <w:color w:val="000000" w:themeColor="text1"/>
                <w:sz w:val="18"/>
                <w:szCs w:val="18"/>
                <w:lang w:val="en-US" w:eastAsia="zh-CN"/>
              </w:rPr>
              <w:t>负责电子税务局税务数字账户增值税进项发票的勾选认证；</w:t>
            </w:r>
          </w:p>
          <w:p w14:paraId="6C1385A0">
            <w:pPr>
              <w:pStyle w:val="6"/>
              <w:numPr>
                <w:ilvl w:val="0"/>
                <w:numId w:val="5"/>
              </w:numPr>
              <w:ind w:left="420" w:leftChars="0" w:hanging="420" w:firstLineChars="0"/>
              <w:rPr>
                <w:rFonts w:hint="eastAsia" w:cs="宋体"/>
                <w:color w:val="000000" w:themeColor="text1"/>
                <w:sz w:val="18"/>
                <w:szCs w:val="18"/>
                <w:lang w:val="en-US" w:eastAsia="zh-CN"/>
              </w:rPr>
            </w:pPr>
            <w:r>
              <w:rPr>
                <w:rFonts w:hint="eastAsia" w:cs="宋体"/>
                <w:color w:val="000000" w:themeColor="text1"/>
                <w:sz w:val="18"/>
                <w:szCs w:val="18"/>
                <w:lang w:val="en-US" w:eastAsia="zh-CN"/>
              </w:rPr>
              <w:t>负责房产税、土地使用税、印花税的计算和申报；</w:t>
            </w:r>
          </w:p>
          <w:p w14:paraId="7A4B8B03">
            <w:pPr>
              <w:pStyle w:val="6"/>
              <w:numPr>
                <w:ilvl w:val="0"/>
                <w:numId w:val="5"/>
              </w:numPr>
              <w:ind w:left="420" w:leftChars="0" w:hanging="420" w:firstLineChars="0"/>
              <w:rPr>
                <w:rFonts w:hint="eastAsia" w:cs="宋体"/>
                <w:color w:val="000000" w:themeColor="text1"/>
                <w:sz w:val="18"/>
                <w:szCs w:val="18"/>
                <w:lang w:val="en-US" w:eastAsia="zh-CN"/>
              </w:rPr>
            </w:pPr>
            <w:r>
              <w:rPr>
                <w:rFonts w:hint="eastAsia" w:cs="宋体"/>
                <w:color w:val="000000" w:themeColor="text1"/>
                <w:sz w:val="18"/>
                <w:szCs w:val="18"/>
                <w:lang w:val="en-US" w:eastAsia="zh-CN"/>
              </w:rPr>
              <w:t>负责自然人税收管理系统正常工资薪金的申报；</w:t>
            </w:r>
          </w:p>
          <w:p w14:paraId="34BD5B33">
            <w:pPr>
              <w:pStyle w:val="6"/>
              <w:numPr>
                <w:ilvl w:val="0"/>
                <w:numId w:val="5"/>
              </w:numPr>
              <w:ind w:left="420" w:leftChars="0" w:hanging="420" w:firstLineChars="0"/>
              <w:rPr>
                <w:rFonts w:hint="default" w:cs="宋体"/>
                <w:color w:val="000000" w:themeColor="text1"/>
                <w:sz w:val="18"/>
                <w:szCs w:val="18"/>
                <w:lang w:val="en-US" w:eastAsia="zh-CN"/>
              </w:rPr>
            </w:pPr>
            <w:r>
              <w:rPr>
                <w:rFonts w:hint="eastAsia" w:cs="宋体"/>
                <w:color w:val="000000" w:themeColor="text1"/>
                <w:sz w:val="18"/>
                <w:szCs w:val="18"/>
                <w:lang w:val="en-US" w:eastAsia="zh-CN"/>
              </w:rPr>
              <w:t>负责电子税务局增值税、消费税与附加税费的申报。</w:t>
            </w:r>
          </w:p>
        </w:tc>
      </w:tr>
      <w:tr w14:paraId="24FF2E5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4" w:hRule="atLeast"/>
          <w:jc w:val="center"/>
        </w:trPr>
        <w:tc>
          <w:tcPr>
            <w:tcW w:w="1148" w:type="dxa"/>
            <w:shd w:val="clear" w:color="auto" w:fill="auto"/>
            <w:vAlign w:val="center"/>
          </w:tcPr>
          <w:p w14:paraId="13AA1FB7">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专业劳动教育暑期社会实践（课外）</w:t>
            </w:r>
          </w:p>
        </w:tc>
        <w:tc>
          <w:tcPr>
            <w:tcW w:w="750" w:type="dxa"/>
            <w:shd w:val="clear" w:color="auto" w:fill="auto"/>
            <w:vAlign w:val="center"/>
          </w:tcPr>
          <w:p w14:paraId="57CF4CB1">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3</w:t>
            </w:r>
          </w:p>
        </w:tc>
        <w:tc>
          <w:tcPr>
            <w:tcW w:w="870" w:type="dxa"/>
            <w:shd w:val="clear" w:color="auto" w:fill="auto"/>
            <w:vAlign w:val="center"/>
          </w:tcPr>
          <w:p w14:paraId="3A20A428">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w:t>
            </w:r>
          </w:p>
        </w:tc>
        <w:tc>
          <w:tcPr>
            <w:tcW w:w="6139" w:type="dxa"/>
            <w:shd w:val="clear" w:color="auto" w:fill="auto"/>
            <w:vAlign w:val="center"/>
          </w:tcPr>
          <w:p w14:paraId="04D980D3">
            <w:pPr>
              <w:numPr>
                <w:ilvl w:val="0"/>
                <w:numId w:val="6"/>
              </w:numPr>
              <w:adjustRightInd w:val="0"/>
              <w:snapToGrid w:val="0"/>
              <w:jc w:val="left"/>
              <w:rPr>
                <w:sz w:val="18"/>
                <w:szCs w:val="18"/>
              </w:rPr>
            </w:pPr>
            <w:r>
              <w:rPr>
                <w:rFonts w:hint="eastAsia"/>
                <w:sz w:val="18"/>
                <w:szCs w:val="18"/>
              </w:rPr>
              <w:t>围绕卫生、劳动习惯养成，主动分担家务；</w:t>
            </w:r>
          </w:p>
          <w:p w14:paraId="16F4BA4E">
            <w:pPr>
              <w:pStyle w:val="6"/>
              <w:numPr>
                <w:ilvl w:val="0"/>
                <w:numId w:val="6"/>
              </w:numPr>
              <w:rPr>
                <w:lang w:val="en-US"/>
              </w:rPr>
            </w:pPr>
            <w:r>
              <w:rPr>
                <w:rFonts w:hint="eastAsia"/>
                <w:lang w:val="en-US"/>
              </w:rPr>
              <w:t>参加校内外公益劳动；</w:t>
            </w:r>
          </w:p>
          <w:p w14:paraId="4636B7D0">
            <w:pPr>
              <w:pStyle w:val="6"/>
              <w:numPr>
                <w:ilvl w:val="0"/>
                <w:numId w:val="6"/>
              </w:numPr>
              <w:rPr>
                <w:lang w:val="en-US"/>
              </w:rPr>
            </w:pPr>
            <w:r>
              <w:rPr>
                <w:rFonts w:hint="eastAsia"/>
                <w:lang w:val="en-US"/>
              </w:rPr>
              <w:t>与他人合作劳动，参加社区服务；</w:t>
            </w:r>
          </w:p>
          <w:p w14:paraId="731DD053">
            <w:pPr>
              <w:pStyle w:val="6"/>
              <w:numPr>
                <w:ilvl w:val="0"/>
                <w:numId w:val="6"/>
              </w:numPr>
              <w:rPr>
                <w:lang w:val="en-US"/>
              </w:rPr>
            </w:pPr>
            <w:r>
              <w:rPr>
                <w:rFonts w:hint="eastAsia"/>
                <w:lang w:val="en-US"/>
              </w:rPr>
              <w:t>注重培育公共服务意识，培养主动作为的奉献精神。</w:t>
            </w:r>
          </w:p>
        </w:tc>
      </w:tr>
      <w:tr w14:paraId="345C492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14" w:hRule="atLeast"/>
          <w:jc w:val="center"/>
        </w:trPr>
        <w:tc>
          <w:tcPr>
            <w:tcW w:w="1148" w:type="dxa"/>
            <w:shd w:val="clear" w:color="auto" w:fill="auto"/>
            <w:vAlign w:val="center"/>
          </w:tcPr>
          <w:p w14:paraId="05FF729C">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专业企业实践暑期社会实践（课外）</w:t>
            </w:r>
          </w:p>
        </w:tc>
        <w:tc>
          <w:tcPr>
            <w:tcW w:w="750" w:type="dxa"/>
            <w:shd w:val="clear" w:color="auto" w:fill="auto"/>
            <w:vAlign w:val="center"/>
          </w:tcPr>
          <w:p w14:paraId="2FD71648">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5</w:t>
            </w:r>
          </w:p>
        </w:tc>
        <w:tc>
          <w:tcPr>
            <w:tcW w:w="870" w:type="dxa"/>
            <w:shd w:val="clear" w:color="auto" w:fill="auto"/>
            <w:vAlign w:val="center"/>
          </w:tcPr>
          <w:p w14:paraId="27B150F1">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w:t>
            </w:r>
          </w:p>
        </w:tc>
        <w:tc>
          <w:tcPr>
            <w:tcW w:w="6139" w:type="dxa"/>
            <w:shd w:val="clear" w:color="auto" w:fill="auto"/>
            <w:vAlign w:val="center"/>
          </w:tcPr>
          <w:p w14:paraId="555A803D">
            <w:pPr>
              <w:numPr>
                <w:ilvl w:val="0"/>
                <w:numId w:val="6"/>
              </w:numPr>
              <w:adjustRightInd w:val="0"/>
              <w:snapToGrid w:val="0"/>
              <w:jc w:val="left"/>
              <w:rPr>
                <w:sz w:val="18"/>
                <w:szCs w:val="18"/>
              </w:rPr>
            </w:pPr>
            <w:r>
              <w:rPr>
                <w:rFonts w:hint="eastAsia"/>
                <w:sz w:val="18"/>
                <w:szCs w:val="18"/>
              </w:rPr>
              <w:t>调研企业的组织架构、管理模式、供产销流程；</w:t>
            </w:r>
          </w:p>
          <w:p w14:paraId="30AB3AF6">
            <w:pPr>
              <w:pStyle w:val="6"/>
              <w:numPr>
                <w:ilvl w:val="0"/>
                <w:numId w:val="6"/>
              </w:numPr>
              <w:rPr>
                <w:color w:val="000000" w:themeColor="text1"/>
                <w:lang w:val="en-US"/>
              </w:rPr>
            </w:pPr>
            <w:r>
              <w:rPr>
                <w:rFonts w:hint="eastAsia"/>
                <w:color w:val="000000" w:themeColor="text1"/>
                <w:lang w:val="en-US"/>
              </w:rPr>
              <w:t>了解企业财务实施现状；</w:t>
            </w:r>
          </w:p>
          <w:p w14:paraId="53C30056">
            <w:pPr>
              <w:pStyle w:val="6"/>
              <w:numPr>
                <w:ilvl w:val="0"/>
                <w:numId w:val="6"/>
              </w:numPr>
              <w:rPr>
                <w:color w:val="000000" w:themeColor="text1"/>
                <w:lang w:val="en-US"/>
              </w:rPr>
            </w:pPr>
            <w:r>
              <w:rPr>
                <w:rFonts w:hint="eastAsia"/>
                <w:color w:val="000000" w:themeColor="text1"/>
                <w:lang w:val="en-US"/>
              </w:rPr>
              <w:t>熟悉出纳、财务、审核等关键岗位的日常工作；</w:t>
            </w:r>
          </w:p>
          <w:p w14:paraId="58CD3C6C">
            <w:pPr>
              <w:pStyle w:val="6"/>
              <w:numPr>
                <w:ilvl w:val="0"/>
                <w:numId w:val="6"/>
              </w:numPr>
              <w:rPr>
                <w:color w:val="000000" w:themeColor="text1"/>
                <w:lang w:val="en-US"/>
              </w:rPr>
            </w:pPr>
            <w:r>
              <w:rPr>
                <w:rFonts w:hint="eastAsia"/>
                <w:color w:val="000000" w:themeColor="text1"/>
                <w:lang w:val="en-US"/>
              </w:rPr>
              <w:t>熟悉企业涉及业务处理及纳税申报。</w:t>
            </w:r>
          </w:p>
        </w:tc>
      </w:tr>
      <w:tr w14:paraId="5CB9B34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 w:hRule="atLeast"/>
          <w:jc w:val="center"/>
        </w:trPr>
        <w:tc>
          <w:tcPr>
            <w:tcW w:w="1148" w:type="dxa"/>
            <w:shd w:val="clear" w:color="auto" w:fill="auto"/>
            <w:vAlign w:val="center"/>
          </w:tcPr>
          <w:p w14:paraId="43A4271D">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企业调研与顶岗实习</w:t>
            </w:r>
          </w:p>
        </w:tc>
        <w:tc>
          <w:tcPr>
            <w:tcW w:w="750" w:type="dxa"/>
            <w:shd w:val="clear" w:color="auto" w:fill="auto"/>
            <w:vAlign w:val="center"/>
          </w:tcPr>
          <w:p w14:paraId="564612DD">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5</w:t>
            </w:r>
          </w:p>
        </w:tc>
        <w:tc>
          <w:tcPr>
            <w:tcW w:w="870" w:type="dxa"/>
            <w:shd w:val="clear" w:color="auto" w:fill="auto"/>
            <w:vAlign w:val="center"/>
          </w:tcPr>
          <w:p w14:paraId="1A703DB7">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4</w:t>
            </w:r>
          </w:p>
        </w:tc>
        <w:tc>
          <w:tcPr>
            <w:tcW w:w="6139" w:type="dxa"/>
            <w:shd w:val="clear" w:color="auto" w:fill="auto"/>
            <w:vAlign w:val="center"/>
          </w:tcPr>
          <w:p w14:paraId="19BBE55A">
            <w:pPr>
              <w:numPr>
                <w:ilvl w:val="0"/>
                <w:numId w:val="4"/>
              </w:numPr>
              <w:adjustRightInd w:val="0"/>
              <w:snapToGrid w:val="0"/>
              <w:rPr>
                <w:rFonts w:ascii="宋体" w:hAnsi="宋体" w:cs="宋体"/>
                <w:color w:val="000000" w:themeColor="text1"/>
                <w:sz w:val="18"/>
                <w:szCs w:val="18"/>
              </w:rPr>
            </w:pPr>
            <w:r>
              <w:rPr>
                <w:rFonts w:hint="eastAsia" w:ascii="宋体" w:hAnsi="宋体" w:cs="宋体"/>
                <w:color w:val="000000" w:themeColor="text1"/>
                <w:sz w:val="18"/>
                <w:szCs w:val="18"/>
              </w:rPr>
              <w:t>填制和审核原始凭证</w:t>
            </w:r>
          </w:p>
          <w:p w14:paraId="749B90E7">
            <w:pPr>
              <w:numPr>
                <w:ilvl w:val="0"/>
                <w:numId w:val="4"/>
              </w:numPr>
              <w:adjustRightInd w:val="0"/>
              <w:snapToGrid w:val="0"/>
              <w:rPr>
                <w:rFonts w:ascii="宋体" w:hAnsi="宋体" w:cs="宋体"/>
                <w:color w:val="000000" w:themeColor="text1"/>
                <w:sz w:val="18"/>
                <w:szCs w:val="18"/>
              </w:rPr>
            </w:pPr>
            <w:r>
              <w:rPr>
                <w:rFonts w:hint="eastAsia" w:ascii="宋体" w:hAnsi="宋体" w:cs="宋体"/>
                <w:color w:val="000000" w:themeColor="text1"/>
                <w:sz w:val="18"/>
                <w:szCs w:val="18"/>
              </w:rPr>
              <w:t>填制和审核记账凭证</w:t>
            </w:r>
          </w:p>
          <w:p w14:paraId="20765BBE">
            <w:pPr>
              <w:numPr>
                <w:ilvl w:val="0"/>
                <w:numId w:val="4"/>
              </w:numPr>
              <w:adjustRightInd w:val="0"/>
              <w:snapToGrid w:val="0"/>
              <w:rPr>
                <w:rFonts w:ascii="宋体" w:hAnsi="宋体" w:cs="宋体"/>
                <w:color w:val="000000" w:themeColor="text1"/>
                <w:sz w:val="18"/>
                <w:szCs w:val="18"/>
              </w:rPr>
            </w:pPr>
            <w:r>
              <w:rPr>
                <w:rFonts w:hint="eastAsia" w:ascii="宋体" w:hAnsi="宋体" w:cs="宋体"/>
                <w:color w:val="000000" w:themeColor="text1"/>
                <w:sz w:val="18"/>
                <w:szCs w:val="18"/>
              </w:rPr>
              <w:t>办理现金收支及银行业务</w:t>
            </w:r>
          </w:p>
          <w:p w14:paraId="36C883F8">
            <w:pPr>
              <w:numPr>
                <w:ilvl w:val="0"/>
                <w:numId w:val="4"/>
              </w:numPr>
              <w:adjustRightInd w:val="0"/>
              <w:snapToGrid w:val="0"/>
              <w:rPr>
                <w:rFonts w:cs="宋体"/>
                <w:color w:val="000000" w:themeColor="text1"/>
                <w:sz w:val="18"/>
                <w:szCs w:val="18"/>
              </w:rPr>
            </w:pPr>
            <w:r>
              <w:rPr>
                <w:rFonts w:hint="eastAsia" w:cs="宋体"/>
                <w:color w:val="000000" w:themeColor="text1"/>
                <w:sz w:val="18"/>
                <w:szCs w:val="18"/>
              </w:rPr>
              <w:t>登记会计账簿</w:t>
            </w:r>
          </w:p>
          <w:p w14:paraId="7056246B">
            <w:pPr>
              <w:numPr>
                <w:ilvl w:val="0"/>
                <w:numId w:val="4"/>
              </w:numPr>
              <w:adjustRightInd w:val="0"/>
              <w:snapToGrid w:val="0"/>
              <w:rPr>
                <w:rFonts w:ascii="宋体" w:hAnsi="宋体" w:cs="宋体"/>
                <w:color w:val="000000" w:themeColor="text1"/>
                <w:sz w:val="18"/>
                <w:szCs w:val="18"/>
              </w:rPr>
            </w:pPr>
            <w:r>
              <w:rPr>
                <w:rFonts w:hint="eastAsia" w:cs="宋体"/>
                <w:color w:val="000000" w:themeColor="text1"/>
                <w:sz w:val="18"/>
                <w:szCs w:val="18"/>
              </w:rPr>
              <w:t>出具财务报表</w:t>
            </w:r>
          </w:p>
        </w:tc>
      </w:tr>
      <w:tr w14:paraId="77F3643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 w:hRule="atLeast"/>
          <w:jc w:val="center"/>
        </w:trPr>
        <w:tc>
          <w:tcPr>
            <w:tcW w:w="1148" w:type="dxa"/>
            <w:shd w:val="clear" w:color="auto" w:fill="auto"/>
            <w:vAlign w:val="center"/>
          </w:tcPr>
          <w:p w14:paraId="71F41AD8">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毕业实习</w:t>
            </w:r>
          </w:p>
        </w:tc>
        <w:tc>
          <w:tcPr>
            <w:tcW w:w="750" w:type="dxa"/>
            <w:shd w:val="clear" w:color="auto" w:fill="auto"/>
            <w:vAlign w:val="center"/>
          </w:tcPr>
          <w:p w14:paraId="17FE4957">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6</w:t>
            </w:r>
          </w:p>
        </w:tc>
        <w:tc>
          <w:tcPr>
            <w:tcW w:w="870" w:type="dxa"/>
            <w:shd w:val="clear" w:color="auto" w:fill="auto"/>
            <w:vAlign w:val="center"/>
          </w:tcPr>
          <w:p w14:paraId="00BCBEE6">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12</w:t>
            </w:r>
          </w:p>
        </w:tc>
        <w:tc>
          <w:tcPr>
            <w:tcW w:w="6139" w:type="dxa"/>
            <w:shd w:val="clear" w:color="auto" w:fill="auto"/>
            <w:vAlign w:val="center"/>
          </w:tcPr>
          <w:p w14:paraId="7F4E2E4C">
            <w:pPr>
              <w:numPr>
                <w:ilvl w:val="0"/>
                <w:numId w:val="7"/>
              </w:numPr>
              <w:adjustRightInd w:val="0"/>
              <w:snapToGrid w:val="0"/>
              <w:rPr>
                <w:sz w:val="18"/>
                <w:szCs w:val="18"/>
              </w:rPr>
            </w:pPr>
            <w:r>
              <w:rPr>
                <w:rFonts w:hint="eastAsia"/>
                <w:sz w:val="18"/>
                <w:szCs w:val="18"/>
              </w:rPr>
              <w:t>了解毕业实习内容、岗位工作及安全教育；</w:t>
            </w:r>
          </w:p>
          <w:p w14:paraId="036604D2">
            <w:pPr>
              <w:pStyle w:val="6"/>
              <w:numPr>
                <w:ilvl w:val="0"/>
                <w:numId w:val="7"/>
              </w:numPr>
              <w:rPr>
                <w:color w:val="000000" w:themeColor="text1"/>
                <w:lang w:val="en-US"/>
              </w:rPr>
            </w:pPr>
            <w:r>
              <w:rPr>
                <w:rFonts w:hint="eastAsia"/>
                <w:color w:val="000000" w:themeColor="text1"/>
                <w:lang w:val="en-US"/>
              </w:rPr>
              <w:t>熟悉出纳岗位工作任务；</w:t>
            </w:r>
          </w:p>
          <w:p w14:paraId="6D6836DC">
            <w:pPr>
              <w:pStyle w:val="6"/>
              <w:numPr>
                <w:ilvl w:val="0"/>
                <w:numId w:val="7"/>
              </w:numPr>
              <w:rPr>
                <w:color w:val="000000" w:themeColor="text1"/>
                <w:lang w:val="en-US"/>
              </w:rPr>
            </w:pPr>
            <w:r>
              <w:rPr>
                <w:rFonts w:hint="eastAsia"/>
                <w:color w:val="000000" w:themeColor="text1"/>
                <w:lang w:val="en-US"/>
              </w:rPr>
              <w:t>熟悉会计日常业务处理；</w:t>
            </w:r>
          </w:p>
          <w:p w14:paraId="0DF4998D">
            <w:pPr>
              <w:pStyle w:val="6"/>
              <w:numPr>
                <w:ilvl w:val="0"/>
                <w:numId w:val="7"/>
              </w:numPr>
              <w:rPr>
                <w:color w:val="000000" w:themeColor="text1"/>
                <w:lang w:val="en-US"/>
              </w:rPr>
            </w:pPr>
            <w:r>
              <w:rPr>
                <w:rFonts w:hint="eastAsia"/>
                <w:color w:val="000000" w:themeColor="text1"/>
                <w:lang w:val="en-US"/>
              </w:rPr>
              <w:t>掌握确认、记录、计量、报告等工作内容。</w:t>
            </w:r>
          </w:p>
        </w:tc>
      </w:tr>
      <w:tr w14:paraId="3F2BDA2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97" w:hRule="atLeast"/>
          <w:jc w:val="center"/>
        </w:trPr>
        <w:tc>
          <w:tcPr>
            <w:tcW w:w="1148" w:type="dxa"/>
            <w:shd w:val="clear" w:color="auto" w:fill="auto"/>
            <w:vAlign w:val="center"/>
          </w:tcPr>
          <w:p w14:paraId="5CA113C7">
            <w:pPr>
              <w:adjustRightInd w:val="0"/>
              <w:snapToGrid w:val="0"/>
              <w:jc w:val="center"/>
              <w:rPr>
                <w:rFonts w:ascii="宋体" w:hAnsi="宋体" w:cs="宋体"/>
                <w:color w:val="000000" w:themeColor="text1"/>
                <w:sz w:val="18"/>
                <w:szCs w:val="18"/>
              </w:rPr>
            </w:pPr>
            <w:r>
              <w:rPr>
                <w:rFonts w:hint="eastAsia" w:ascii="宋体" w:hAnsi="宋体" w:cs="宋体"/>
                <w:color w:val="000000" w:themeColor="text1"/>
                <w:sz w:val="18"/>
                <w:szCs w:val="18"/>
              </w:rPr>
              <w:t>毕业设计</w:t>
            </w:r>
          </w:p>
        </w:tc>
        <w:tc>
          <w:tcPr>
            <w:tcW w:w="750" w:type="dxa"/>
            <w:shd w:val="clear" w:color="auto" w:fill="auto"/>
            <w:vAlign w:val="center"/>
          </w:tcPr>
          <w:p w14:paraId="4DA918F8">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6</w:t>
            </w:r>
          </w:p>
        </w:tc>
        <w:tc>
          <w:tcPr>
            <w:tcW w:w="870" w:type="dxa"/>
            <w:shd w:val="clear" w:color="auto" w:fill="auto"/>
            <w:vAlign w:val="center"/>
          </w:tcPr>
          <w:p w14:paraId="4B281DA8">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6</w:t>
            </w:r>
          </w:p>
        </w:tc>
        <w:tc>
          <w:tcPr>
            <w:tcW w:w="6139" w:type="dxa"/>
            <w:shd w:val="clear" w:color="auto" w:fill="auto"/>
            <w:vAlign w:val="center"/>
          </w:tcPr>
          <w:p w14:paraId="2845BB7A">
            <w:pPr>
              <w:numPr>
                <w:ilvl w:val="0"/>
                <w:numId w:val="7"/>
              </w:numPr>
              <w:adjustRightInd w:val="0"/>
              <w:snapToGrid w:val="0"/>
              <w:rPr>
                <w:sz w:val="18"/>
                <w:szCs w:val="18"/>
              </w:rPr>
            </w:pPr>
            <w:r>
              <w:rPr>
                <w:rFonts w:hint="eastAsia"/>
                <w:sz w:val="18"/>
                <w:szCs w:val="18"/>
              </w:rPr>
              <w:t>了解毕业设计的选题</w:t>
            </w:r>
          </w:p>
          <w:p w14:paraId="61866A9D">
            <w:pPr>
              <w:pStyle w:val="6"/>
              <w:numPr>
                <w:ilvl w:val="0"/>
                <w:numId w:val="7"/>
              </w:numPr>
              <w:rPr>
                <w:lang w:val="en-US"/>
              </w:rPr>
            </w:pPr>
            <w:r>
              <w:rPr>
                <w:rFonts w:hint="eastAsia"/>
                <w:lang w:val="en-US"/>
              </w:rPr>
              <w:t>调研研究对象，撰写调研表；</w:t>
            </w:r>
          </w:p>
          <w:p w14:paraId="26C38A58">
            <w:pPr>
              <w:pStyle w:val="6"/>
              <w:numPr>
                <w:ilvl w:val="0"/>
                <w:numId w:val="7"/>
              </w:numPr>
              <w:rPr>
                <w:lang w:val="en-US"/>
              </w:rPr>
            </w:pPr>
            <w:r>
              <w:rPr>
                <w:rFonts w:hint="eastAsia"/>
                <w:lang w:val="en-US"/>
              </w:rPr>
              <w:t>撰写实施方案及工作进度表；</w:t>
            </w:r>
          </w:p>
          <w:p w14:paraId="73E45846">
            <w:pPr>
              <w:pStyle w:val="6"/>
              <w:numPr>
                <w:ilvl w:val="0"/>
                <w:numId w:val="7"/>
              </w:numPr>
              <w:rPr>
                <w:lang w:val="en-US"/>
              </w:rPr>
            </w:pPr>
            <w:r>
              <w:rPr>
                <w:rFonts w:hint="eastAsia"/>
                <w:lang w:val="en-US"/>
              </w:rPr>
              <w:t>撰写毕业设计文稿。</w:t>
            </w:r>
          </w:p>
        </w:tc>
      </w:tr>
    </w:tbl>
    <w:p w14:paraId="716A6F0E">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七、教学进程及学时安排</w:t>
      </w:r>
    </w:p>
    <w:p w14:paraId="619BFA54">
      <w:pPr>
        <w:spacing w:line="400" w:lineRule="exact"/>
        <w:ind w:firstLine="422" w:firstLineChars="200"/>
        <w:jc w:val="left"/>
        <w:outlineLvl w:val="0"/>
        <w:rPr>
          <w:b/>
          <w:bCs/>
          <w:color w:val="000000"/>
          <w:kern w:val="0"/>
          <w:szCs w:val="21"/>
        </w:rPr>
      </w:pPr>
      <w:r>
        <w:rPr>
          <w:b/>
          <w:bCs/>
          <w:color w:val="000000"/>
          <w:kern w:val="0"/>
          <w:szCs w:val="21"/>
        </w:rPr>
        <w:t>（一）教学周数安排表</w:t>
      </w:r>
    </w:p>
    <w:p w14:paraId="43B8A3A8">
      <w:pPr>
        <w:pStyle w:val="5"/>
        <w:keepNext/>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heme="minorEastAsia"/>
          <w:b/>
          <w:bCs/>
          <w:sz w:val="18"/>
          <w:szCs w:val="18"/>
        </w:rPr>
      </w:pPr>
      <w:r>
        <w:rPr>
          <w:rFonts w:ascii="Times New Roman" w:hAnsi="Times New Roman" w:eastAsiaTheme="minorEastAsia"/>
          <w:b/>
          <w:bCs/>
          <w:sz w:val="18"/>
          <w:szCs w:val="18"/>
        </w:rPr>
        <w:t xml:space="preserve">表 </w:t>
      </w:r>
      <w:r>
        <w:rPr>
          <w:rFonts w:hint="default" w:ascii="Times New Roman" w:hAnsi="Times New Roman" w:cs="Times New Roman" w:eastAsiaTheme="minorEastAsia"/>
          <w:b/>
          <w:bCs/>
          <w:sz w:val="18"/>
          <w:szCs w:val="18"/>
        </w:rPr>
        <w:t>8</w:t>
      </w:r>
      <w:r>
        <w:rPr>
          <w:rFonts w:hint="eastAsia" w:ascii="Times New Roman" w:hAnsi="Times New Roman" w:eastAsiaTheme="minorEastAsia"/>
          <w:b/>
          <w:bCs/>
          <w:sz w:val="18"/>
          <w:szCs w:val="18"/>
        </w:rPr>
        <w:t xml:space="preserve">  </w:t>
      </w:r>
      <w:r>
        <w:rPr>
          <w:rFonts w:ascii="Times New Roman" w:hAnsi="Times New Roman" w:eastAsiaTheme="minorEastAsia"/>
          <w:b/>
          <w:bCs/>
          <w:sz w:val="18"/>
          <w:szCs w:val="18"/>
        </w:rPr>
        <w:t xml:space="preserve"> 教学周数安排表</w:t>
      </w:r>
    </w:p>
    <w:tbl>
      <w:tblPr>
        <w:tblStyle w:val="1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14:paraId="48F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495" w:type="dxa"/>
            <w:vMerge w:val="restart"/>
            <w:shd w:val="clear" w:color="auto" w:fill="auto"/>
          </w:tcPr>
          <w:p w14:paraId="532121D4">
            <w:pPr>
              <w:ind w:firstLine="1260" w:firstLineChars="700"/>
              <w:rPr>
                <w:rFonts w:eastAsiaTheme="minorEastAsia"/>
                <w:color w:val="000000"/>
                <w:sz w:val="18"/>
                <w:szCs w:val="18"/>
              </w:rPr>
            </w:pPr>
            <w:r>
              <w:rPr>
                <w:rFonts w:eastAsiaTheme="minorEastAsia"/>
                <w:color w:val="000000"/>
                <w:sz w:val="18"/>
                <w:szCs w:val="18"/>
              </w:rPr>
              <w:pict>
                <v:line id="_x0000_s1028" o:spid="_x0000_s1028" o:spt="20" style="position:absolute;left:0pt;margin-left:-4.8pt;margin-top:0.1pt;height:47.7pt;width:124.7pt;z-index:251659264;mso-width-relative:page;mso-height-relative:page;"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rCC/UAAAABgEAAA8AAAAAAAAAAQAgAAAAIgAAAGRycy9kb3ducmV2LnhtbFBLAQIU&#10;ABQAAAAIAIdO4kCDJKn19wEAAOkDAAAOAAAAAAAAAAEAIAAAACMBAABkcnMvZTJvRG9jLnhtbFBL&#10;BQYAAAAABgAGAFkBAACMBQAAAAA=&#10;">
                  <v:path arrowok="t"/>
                  <v:fill focussize="0,0"/>
                  <v:stroke weight="0.5pt"/>
                  <v:imagedata o:title=""/>
                  <o:lock v:ext="edit"/>
                </v:line>
              </w:pict>
            </w:r>
            <w:r>
              <w:rPr>
                <w:rFonts w:eastAsiaTheme="minorEastAsia"/>
                <w:color w:val="000000"/>
                <w:sz w:val="18"/>
                <w:szCs w:val="18"/>
              </w:rPr>
              <w:t>项  目</w:t>
            </w:r>
          </w:p>
          <w:p w14:paraId="7FBD7832">
            <w:pPr>
              <w:ind w:firstLine="360" w:firstLineChars="200"/>
              <w:rPr>
                <w:rFonts w:eastAsiaTheme="minorEastAsia"/>
                <w:color w:val="000000"/>
                <w:sz w:val="18"/>
                <w:szCs w:val="18"/>
              </w:rPr>
            </w:pPr>
            <w:r>
              <w:rPr>
                <w:rFonts w:eastAsiaTheme="minorEastAsia"/>
                <w:color w:val="000000"/>
                <w:sz w:val="18"/>
                <w:szCs w:val="18"/>
              </w:rPr>
              <w:pict>
                <v:line id="_x0000_s1027" o:spid="_x0000_s1027" o:spt="20" style="position:absolute;left:0pt;margin-left:-4.45pt;margin-top:11.3pt;height:20.55pt;width:123.15pt;z-index:251660288;mso-width-relative:page;mso-height-relative:page;"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v/ldcAAAAIAQAADwAAAAAAAAABACAAAAAiAAAAZHJzL2Rvd25yZXYueG1s&#10;UEsBAhQAFAAAAAgAh07iQAMoH5r5AQAA6QMAAA4AAAAAAAAAAQAgAAAAJgEAAGRycy9lMm9Eb2Mu&#10;eG1sUEsFBgAAAAAGAAYAWQEAAJEFAAAAAA==&#10;">
                  <v:path arrowok="t"/>
                  <v:fill focussize="0,0"/>
                  <v:stroke weight="0.5pt"/>
                  <v:imagedata o:title=""/>
                  <o:lock v:ext="edit"/>
                </v:line>
              </w:pict>
            </w:r>
            <w:r>
              <w:rPr>
                <w:rFonts w:eastAsiaTheme="minorEastAsia"/>
                <w:color w:val="000000"/>
                <w:sz w:val="18"/>
                <w:szCs w:val="18"/>
              </w:rPr>
              <w:t>周  数</w:t>
            </w:r>
          </w:p>
          <w:p w14:paraId="207A62A5">
            <w:pPr>
              <w:ind w:firstLine="45" w:firstLineChars="25"/>
              <w:rPr>
                <w:rFonts w:eastAsiaTheme="minorEastAsia"/>
                <w:color w:val="000000"/>
                <w:sz w:val="18"/>
                <w:szCs w:val="18"/>
              </w:rPr>
            </w:pPr>
            <w:r>
              <w:rPr>
                <w:rFonts w:eastAsiaTheme="minorEastAsia"/>
                <w:color w:val="000000"/>
                <w:sz w:val="18"/>
                <w:szCs w:val="18"/>
              </w:rPr>
              <w:t xml:space="preserve">学 期      </w:t>
            </w:r>
          </w:p>
        </w:tc>
        <w:tc>
          <w:tcPr>
            <w:tcW w:w="2441" w:type="dxa"/>
            <w:gridSpan w:val="3"/>
            <w:shd w:val="clear" w:color="auto" w:fill="auto"/>
          </w:tcPr>
          <w:p w14:paraId="4F0608F2">
            <w:pPr>
              <w:jc w:val="center"/>
              <w:rPr>
                <w:rFonts w:eastAsiaTheme="minorEastAsia"/>
                <w:color w:val="000000"/>
                <w:sz w:val="18"/>
                <w:szCs w:val="18"/>
              </w:rPr>
            </w:pPr>
            <w:r>
              <w:rPr>
                <w:rFonts w:eastAsiaTheme="minorEastAsia"/>
                <w:color w:val="000000"/>
                <w:sz w:val="18"/>
                <w:szCs w:val="18"/>
              </w:rPr>
              <w:t>授课环节</w:t>
            </w:r>
          </w:p>
        </w:tc>
        <w:tc>
          <w:tcPr>
            <w:tcW w:w="3167" w:type="dxa"/>
            <w:gridSpan w:val="3"/>
            <w:shd w:val="clear" w:color="auto" w:fill="auto"/>
            <w:vAlign w:val="center"/>
          </w:tcPr>
          <w:p w14:paraId="38EC403E">
            <w:pPr>
              <w:jc w:val="center"/>
              <w:rPr>
                <w:rFonts w:eastAsiaTheme="minorEastAsia"/>
                <w:color w:val="000000"/>
                <w:sz w:val="18"/>
                <w:szCs w:val="18"/>
              </w:rPr>
            </w:pPr>
            <w:r>
              <w:rPr>
                <w:rFonts w:eastAsiaTheme="minorEastAsia"/>
                <w:color w:val="000000"/>
                <w:sz w:val="18"/>
                <w:szCs w:val="18"/>
              </w:rPr>
              <w:t>其他环节</w:t>
            </w:r>
          </w:p>
        </w:tc>
        <w:tc>
          <w:tcPr>
            <w:tcW w:w="975" w:type="dxa"/>
            <w:vMerge w:val="restart"/>
            <w:shd w:val="clear" w:color="auto" w:fill="auto"/>
            <w:vAlign w:val="center"/>
          </w:tcPr>
          <w:p w14:paraId="57D60AF5">
            <w:pPr>
              <w:jc w:val="center"/>
              <w:rPr>
                <w:rFonts w:eastAsiaTheme="minorEastAsia"/>
                <w:color w:val="000000"/>
                <w:sz w:val="18"/>
                <w:szCs w:val="18"/>
              </w:rPr>
            </w:pPr>
            <w:r>
              <w:rPr>
                <w:rFonts w:eastAsiaTheme="minorEastAsia"/>
                <w:color w:val="000000"/>
                <w:sz w:val="18"/>
                <w:szCs w:val="18"/>
              </w:rPr>
              <w:t>社会</w:t>
            </w:r>
          </w:p>
          <w:p w14:paraId="67D12937">
            <w:pPr>
              <w:jc w:val="center"/>
              <w:rPr>
                <w:rFonts w:eastAsiaTheme="minorEastAsia"/>
                <w:color w:val="000000"/>
                <w:sz w:val="18"/>
                <w:szCs w:val="18"/>
              </w:rPr>
            </w:pPr>
            <w:r>
              <w:rPr>
                <w:rFonts w:eastAsiaTheme="minorEastAsia"/>
                <w:color w:val="000000"/>
                <w:sz w:val="18"/>
                <w:szCs w:val="18"/>
              </w:rPr>
              <w:t>实践</w:t>
            </w:r>
          </w:p>
        </w:tc>
      </w:tr>
      <w:tr w14:paraId="4717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shd w:val="clear" w:color="auto" w:fill="auto"/>
          </w:tcPr>
          <w:p w14:paraId="6987C79C">
            <w:pPr>
              <w:ind w:firstLine="900" w:firstLineChars="500"/>
              <w:rPr>
                <w:rFonts w:eastAsiaTheme="minorEastAsia"/>
                <w:color w:val="000000"/>
                <w:sz w:val="18"/>
                <w:szCs w:val="18"/>
              </w:rPr>
            </w:pPr>
          </w:p>
        </w:tc>
        <w:tc>
          <w:tcPr>
            <w:tcW w:w="811" w:type="dxa"/>
            <w:shd w:val="clear" w:color="auto" w:fill="auto"/>
            <w:vAlign w:val="center"/>
          </w:tcPr>
          <w:p w14:paraId="7E3A43AE">
            <w:pPr>
              <w:jc w:val="center"/>
              <w:rPr>
                <w:rFonts w:eastAsiaTheme="minorEastAsia"/>
                <w:color w:val="000000"/>
                <w:sz w:val="18"/>
                <w:szCs w:val="18"/>
              </w:rPr>
            </w:pPr>
            <w:r>
              <w:rPr>
                <w:rFonts w:eastAsiaTheme="minorEastAsia"/>
                <w:color w:val="000000"/>
                <w:sz w:val="18"/>
                <w:szCs w:val="18"/>
              </w:rPr>
              <w:t>总教学周数</w:t>
            </w:r>
          </w:p>
        </w:tc>
        <w:tc>
          <w:tcPr>
            <w:tcW w:w="811" w:type="dxa"/>
            <w:shd w:val="clear" w:color="auto" w:fill="auto"/>
            <w:vAlign w:val="center"/>
          </w:tcPr>
          <w:p w14:paraId="30B38984">
            <w:pPr>
              <w:jc w:val="center"/>
              <w:rPr>
                <w:rFonts w:eastAsiaTheme="minorEastAsia"/>
                <w:color w:val="000000"/>
                <w:sz w:val="18"/>
                <w:szCs w:val="18"/>
              </w:rPr>
            </w:pPr>
            <w:r>
              <w:rPr>
                <w:rFonts w:eastAsiaTheme="minorEastAsia"/>
                <w:color w:val="000000"/>
                <w:sz w:val="18"/>
                <w:szCs w:val="18"/>
              </w:rPr>
              <w:t>课内</w:t>
            </w:r>
          </w:p>
          <w:p w14:paraId="7A191BD1">
            <w:pPr>
              <w:jc w:val="center"/>
              <w:rPr>
                <w:rFonts w:eastAsiaTheme="minorEastAsia"/>
                <w:color w:val="000000"/>
                <w:sz w:val="18"/>
                <w:szCs w:val="18"/>
              </w:rPr>
            </w:pPr>
            <w:r>
              <w:rPr>
                <w:rFonts w:eastAsiaTheme="minorEastAsia"/>
                <w:color w:val="000000"/>
                <w:sz w:val="18"/>
                <w:szCs w:val="18"/>
              </w:rPr>
              <w:t>教学</w:t>
            </w:r>
          </w:p>
        </w:tc>
        <w:tc>
          <w:tcPr>
            <w:tcW w:w="819" w:type="dxa"/>
            <w:shd w:val="clear" w:color="auto" w:fill="auto"/>
            <w:vAlign w:val="center"/>
          </w:tcPr>
          <w:p w14:paraId="09C72A67">
            <w:pPr>
              <w:jc w:val="center"/>
              <w:rPr>
                <w:rFonts w:eastAsiaTheme="minorEastAsia"/>
                <w:color w:val="000000"/>
                <w:sz w:val="18"/>
                <w:szCs w:val="18"/>
              </w:rPr>
            </w:pPr>
            <w:r>
              <w:rPr>
                <w:rFonts w:eastAsiaTheme="minorEastAsia"/>
                <w:color w:val="000000"/>
                <w:sz w:val="18"/>
                <w:szCs w:val="18"/>
              </w:rPr>
              <w:t>集中时间教学</w:t>
            </w:r>
          </w:p>
        </w:tc>
        <w:tc>
          <w:tcPr>
            <w:tcW w:w="811" w:type="dxa"/>
            <w:shd w:val="clear" w:color="auto" w:fill="auto"/>
            <w:vAlign w:val="center"/>
          </w:tcPr>
          <w:p w14:paraId="1E46AE1A">
            <w:pPr>
              <w:jc w:val="center"/>
              <w:rPr>
                <w:rFonts w:eastAsiaTheme="minorEastAsia"/>
                <w:color w:val="000000"/>
                <w:sz w:val="18"/>
                <w:szCs w:val="18"/>
              </w:rPr>
            </w:pPr>
            <w:r>
              <w:rPr>
                <w:rFonts w:eastAsiaTheme="minorEastAsia"/>
                <w:color w:val="000000"/>
                <w:sz w:val="18"/>
                <w:szCs w:val="18"/>
              </w:rPr>
              <w:t>复习</w:t>
            </w:r>
          </w:p>
          <w:p w14:paraId="35F4E11A">
            <w:pPr>
              <w:jc w:val="center"/>
              <w:rPr>
                <w:rFonts w:eastAsiaTheme="minorEastAsia"/>
                <w:color w:val="000000"/>
                <w:sz w:val="18"/>
                <w:szCs w:val="18"/>
              </w:rPr>
            </w:pPr>
            <w:r>
              <w:rPr>
                <w:rFonts w:eastAsiaTheme="minorEastAsia"/>
                <w:color w:val="000000"/>
                <w:sz w:val="18"/>
                <w:szCs w:val="18"/>
              </w:rPr>
              <w:t>考试</w:t>
            </w:r>
          </w:p>
        </w:tc>
        <w:tc>
          <w:tcPr>
            <w:tcW w:w="1256" w:type="dxa"/>
            <w:shd w:val="clear" w:color="auto" w:fill="auto"/>
            <w:vAlign w:val="center"/>
          </w:tcPr>
          <w:p w14:paraId="352C55FF">
            <w:pPr>
              <w:jc w:val="center"/>
              <w:rPr>
                <w:rFonts w:eastAsiaTheme="minorEastAsia"/>
                <w:color w:val="000000"/>
                <w:sz w:val="18"/>
                <w:szCs w:val="18"/>
              </w:rPr>
            </w:pPr>
            <w:r>
              <w:rPr>
                <w:rFonts w:eastAsiaTheme="minorEastAsia"/>
                <w:color w:val="000000"/>
                <w:sz w:val="18"/>
                <w:szCs w:val="18"/>
              </w:rPr>
              <w:t>入学毕</w:t>
            </w:r>
          </w:p>
          <w:p w14:paraId="63581491">
            <w:pPr>
              <w:jc w:val="center"/>
              <w:rPr>
                <w:rFonts w:eastAsiaTheme="minorEastAsia"/>
                <w:color w:val="000000"/>
                <w:sz w:val="18"/>
                <w:szCs w:val="18"/>
              </w:rPr>
            </w:pPr>
            <w:r>
              <w:rPr>
                <w:rFonts w:eastAsiaTheme="minorEastAsia"/>
                <w:color w:val="000000"/>
                <w:sz w:val="18"/>
                <w:szCs w:val="18"/>
              </w:rPr>
              <w:t>业教育</w:t>
            </w:r>
          </w:p>
        </w:tc>
        <w:tc>
          <w:tcPr>
            <w:tcW w:w="1100" w:type="dxa"/>
            <w:shd w:val="clear" w:color="auto" w:fill="auto"/>
            <w:vAlign w:val="center"/>
          </w:tcPr>
          <w:p w14:paraId="3170CDDF">
            <w:pPr>
              <w:jc w:val="center"/>
              <w:rPr>
                <w:rFonts w:eastAsiaTheme="minorEastAsia"/>
                <w:color w:val="000000"/>
                <w:sz w:val="18"/>
                <w:szCs w:val="18"/>
              </w:rPr>
            </w:pPr>
            <w:r>
              <w:rPr>
                <w:rFonts w:eastAsiaTheme="minorEastAsia"/>
                <w:color w:val="000000"/>
                <w:sz w:val="18"/>
                <w:szCs w:val="18"/>
              </w:rPr>
              <w:t>军训/机动</w:t>
            </w:r>
          </w:p>
        </w:tc>
        <w:tc>
          <w:tcPr>
            <w:tcW w:w="975" w:type="dxa"/>
            <w:vMerge w:val="continue"/>
            <w:shd w:val="clear" w:color="auto" w:fill="auto"/>
            <w:vAlign w:val="center"/>
          </w:tcPr>
          <w:p w14:paraId="6EE335D3">
            <w:pPr>
              <w:jc w:val="center"/>
              <w:rPr>
                <w:rFonts w:eastAsiaTheme="minorEastAsia"/>
                <w:color w:val="000000"/>
                <w:sz w:val="18"/>
                <w:szCs w:val="18"/>
              </w:rPr>
            </w:pPr>
          </w:p>
        </w:tc>
      </w:tr>
      <w:tr w14:paraId="4D27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2495" w:type="dxa"/>
            <w:shd w:val="clear" w:color="auto" w:fill="auto"/>
            <w:vAlign w:val="center"/>
          </w:tcPr>
          <w:p w14:paraId="26697674">
            <w:pPr>
              <w:jc w:val="center"/>
              <w:rPr>
                <w:rFonts w:eastAsiaTheme="minorEastAsia"/>
                <w:color w:val="000000" w:themeColor="text1"/>
                <w:sz w:val="18"/>
                <w:szCs w:val="18"/>
              </w:rPr>
            </w:pPr>
            <w:r>
              <w:rPr>
                <w:rFonts w:eastAsiaTheme="minorEastAsia"/>
                <w:color w:val="000000" w:themeColor="text1"/>
                <w:sz w:val="18"/>
                <w:szCs w:val="18"/>
              </w:rPr>
              <w:t>一</w:t>
            </w:r>
          </w:p>
        </w:tc>
        <w:tc>
          <w:tcPr>
            <w:tcW w:w="811" w:type="dxa"/>
            <w:shd w:val="clear" w:color="auto" w:fill="auto"/>
            <w:vAlign w:val="center"/>
          </w:tcPr>
          <w:p w14:paraId="442DF48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20</w:t>
            </w:r>
          </w:p>
        </w:tc>
        <w:tc>
          <w:tcPr>
            <w:tcW w:w="811" w:type="dxa"/>
            <w:shd w:val="clear" w:color="auto" w:fill="auto"/>
            <w:vAlign w:val="center"/>
          </w:tcPr>
          <w:p w14:paraId="31DE2B1A">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16</w:t>
            </w:r>
          </w:p>
        </w:tc>
        <w:tc>
          <w:tcPr>
            <w:tcW w:w="819" w:type="dxa"/>
            <w:shd w:val="clear" w:color="auto" w:fill="auto"/>
            <w:vAlign w:val="center"/>
          </w:tcPr>
          <w:p w14:paraId="2D42B2B9">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0</w:t>
            </w:r>
          </w:p>
        </w:tc>
        <w:tc>
          <w:tcPr>
            <w:tcW w:w="811" w:type="dxa"/>
            <w:shd w:val="clear" w:color="auto" w:fill="auto"/>
            <w:vAlign w:val="center"/>
          </w:tcPr>
          <w:p w14:paraId="355DD51B">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256" w:type="dxa"/>
            <w:shd w:val="clear" w:color="auto" w:fill="auto"/>
            <w:vAlign w:val="center"/>
          </w:tcPr>
          <w:p w14:paraId="761A0038">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100" w:type="dxa"/>
            <w:shd w:val="clear" w:color="auto" w:fill="auto"/>
            <w:vAlign w:val="center"/>
          </w:tcPr>
          <w:p w14:paraId="3E471C3F">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w:t>
            </w:r>
          </w:p>
        </w:tc>
        <w:tc>
          <w:tcPr>
            <w:tcW w:w="975" w:type="dxa"/>
            <w:shd w:val="clear" w:color="auto" w:fill="auto"/>
            <w:vAlign w:val="center"/>
          </w:tcPr>
          <w:p w14:paraId="64DBFFED">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r>
      <w:tr w14:paraId="5D9F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shd w:val="clear" w:color="auto" w:fill="auto"/>
            <w:vAlign w:val="center"/>
          </w:tcPr>
          <w:p w14:paraId="4FE0DAA2">
            <w:pPr>
              <w:jc w:val="center"/>
              <w:rPr>
                <w:rFonts w:eastAsiaTheme="minorEastAsia"/>
                <w:color w:val="000000" w:themeColor="text1"/>
                <w:sz w:val="18"/>
                <w:szCs w:val="18"/>
              </w:rPr>
            </w:pPr>
            <w:r>
              <w:rPr>
                <w:rFonts w:eastAsiaTheme="minorEastAsia"/>
                <w:color w:val="000000" w:themeColor="text1"/>
                <w:sz w:val="18"/>
                <w:szCs w:val="18"/>
              </w:rPr>
              <w:t>二</w:t>
            </w:r>
          </w:p>
        </w:tc>
        <w:tc>
          <w:tcPr>
            <w:tcW w:w="811" w:type="dxa"/>
            <w:shd w:val="clear" w:color="auto" w:fill="auto"/>
            <w:vAlign w:val="center"/>
          </w:tcPr>
          <w:p w14:paraId="1C05CA8D">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20</w:t>
            </w:r>
          </w:p>
        </w:tc>
        <w:tc>
          <w:tcPr>
            <w:tcW w:w="811" w:type="dxa"/>
            <w:shd w:val="clear" w:color="auto" w:fill="auto"/>
            <w:vAlign w:val="center"/>
          </w:tcPr>
          <w:p w14:paraId="3CD9E550">
            <w:pPr>
              <w:adjustRightInd w:val="0"/>
              <w:snapToGrid w:val="0"/>
              <w:jc w:val="center"/>
              <w:rPr>
                <w:rFonts w:hint="eastAsia" w:ascii="宋体" w:hAnsi="宋体" w:eastAsia="宋体" w:cs="宋体"/>
                <w:color w:val="000000" w:themeColor="text1"/>
                <w:sz w:val="18"/>
                <w:szCs w:val="18"/>
                <w:lang w:eastAsia="zh-CN"/>
              </w:rPr>
            </w:pPr>
            <w:r>
              <w:rPr>
                <w:rFonts w:hint="default" w:ascii="Times New Roman" w:hAnsi="Times New Roman" w:cs="Times New Roman"/>
                <w:color w:val="000000" w:themeColor="text1"/>
                <w:sz w:val="18"/>
                <w:szCs w:val="18"/>
              </w:rPr>
              <w:t>1</w:t>
            </w:r>
            <w:r>
              <w:rPr>
                <w:rFonts w:hint="default" w:ascii="Times New Roman" w:hAnsi="Times New Roman" w:cs="Times New Roman"/>
                <w:color w:val="000000" w:themeColor="text1"/>
                <w:sz w:val="18"/>
                <w:szCs w:val="18"/>
                <w:lang w:val="en-US" w:eastAsia="zh-CN"/>
              </w:rPr>
              <w:t>7</w:t>
            </w:r>
          </w:p>
        </w:tc>
        <w:tc>
          <w:tcPr>
            <w:tcW w:w="819" w:type="dxa"/>
            <w:shd w:val="clear" w:color="auto" w:fill="auto"/>
            <w:vAlign w:val="center"/>
          </w:tcPr>
          <w:p w14:paraId="7C66A19E">
            <w:pPr>
              <w:adjustRightInd w:val="0"/>
              <w:snapToGrid w:val="0"/>
              <w:jc w:val="center"/>
              <w:rPr>
                <w:rFonts w:hint="eastAsia" w:ascii="宋体" w:hAnsi="宋体" w:eastAsia="宋体" w:cs="宋体"/>
                <w:color w:val="000000" w:themeColor="text1"/>
                <w:sz w:val="18"/>
                <w:szCs w:val="18"/>
                <w:lang w:eastAsia="zh-CN"/>
              </w:rPr>
            </w:pPr>
            <w:r>
              <w:rPr>
                <w:rFonts w:hint="default" w:ascii="Times New Roman" w:hAnsi="Times New Roman" w:cs="Times New Roman"/>
                <w:color w:val="000000" w:themeColor="text1"/>
                <w:sz w:val="18"/>
                <w:szCs w:val="18"/>
                <w:lang w:val="en-US" w:eastAsia="zh-CN"/>
              </w:rPr>
              <w:t>1</w:t>
            </w:r>
          </w:p>
        </w:tc>
        <w:tc>
          <w:tcPr>
            <w:tcW w:w="811" w:type="dxa"/>
            <w:shd w:val="clear" w:color="auto" w:fill="auto"/>
            <w:vAlign w:val="center"/>
          </w:tcPr>
          <w:p w14:paraId="77DF8FD6">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256" w:type="dxa"/>
            <w:shd w:val="clear" w:color="auto" w:fill="auto"/>
            <w:vAlign w:val="center"/>
          </w:tcPr>
          <w:p w14:paraId="15AC7C6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1100" w:type="dxa"/>
            <w:shd w:val="clear" w:color="auto" w:fill="auto"/>
            <w:vAlign w:val="center"/>
          </w:tcPr>
          <w:p w14:paraId="164588A3">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975" w:type="dxa"/>
            <w:shd w:val="clear" w:color="auto" w:fill="auto"/>
            <w:vAlign w:val="center"/>
          </w:tcPr>
          <w:p w14:paraId="5D57C41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r>
      <w:tr w14:paraId="2C8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2495" w:type="dxa"/>
            <w:shd w:val="clear" w:color="auto" w:fill="auto"/>
            <w:vAlign w:val="center"/>
          </w:tcPr>
          <w:p w14:paraId="3962FEF1">
            <w:pPr>
              <w:jc w:val="center"/>
              <w:rPr>
                <w:rFonts w:eastAsiaTheme="minorEastAsia"/>
                <w:color w:val="000000" w:themeColor="text1"/>
                <w:sz w:val="18"/>
                <w:szCs w:val="18"/>
              </w:rPr>
            </w:pPr>
            <w:r>
              <w:rPr>
                <w:rFonts w:eastAsiaTheme="minorEastAsia"/>
                <w:color w:val="000000" w:themeColor="text1"/>
                <w:sz w:val="18"/>
                <w:szCs w:val="18"/>
              </w:rPr>
              <w:t>三</w:t>
            </w:r>
          </w:p>
        </w:tc>
        <w:tc>
          <w:tcPr>
            <w:tcW w:w="811" w:type="dxa"/>
            <w:shd w:val="clear" w:color="auto" w:fill="auto"/>
            <w:vAlign w:val="center"/>
          </w:tcPr>
          <w:p w14:paraId="09D84B7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20</w:t>
            </w:r>
          </w:p>
        </w:tc>
        <w:tc>
          <w:tcPr>
            <w:tcW w:w="811" w:type="dxa"/>
            <w:shd w:val="clear" w:color="auto" w:fill="auto"/>
            <w:vAlign w:val="center"/>
          </w:tcPr>
          <w:p w14:paraId="41561B41">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18</w:t>
            </w:r>
          </w:p>
        </w:tc>
        <w:tc>
          <w:tcPr>
            <w:tcW w:w="819" w:type="dxa"/>
            <w:shd w:val="clear" w:color="auto" w:fill="auto"/>
            <w:vAlign w:val="center"/>
          </w:tcPr>
          <w:p w14:paraId="366B62FE">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0</w:t>
            </w:r>
          </w:p>
        </w:tc>
        <w:tc>
          <w:tcPr>
            <w:tcW w:w="811" w:type="dxa"/>
            <w:shd w:val="clear" w:color="auto" w:fill="auto"/>
            <w:vAlign w:val="center"/>
          </w:tcPr>
          <w:p w14:paraId="20DE5476">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256" w:type="dxa"/>
            <w:shd w:val="clear" w:color="auto" w:fill="auto"/>
            <w:vAlign w:val="center"/>
          </w:tcPr>
          <w:p w14:paraId="327E85EF">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1100" w:type="dxa"/>
            <w:shd w:val="clear" w:color="auto" w:fill="auto"/>
            <w:vAlign w:val="center"/>
          </w:tcPr>
          <w:p w14:paraId="1CCEDF70">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975" w:type="dxa"/>
            <w:shd w:val="clear" w:color="auto" w:fill="auto"/>
            <w:vAlign w:val="center"/>
          </w:tcPr>
          <w:p w14:paraId="66A1A41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r>
      <w:tr w14:paraId="5C5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shd w:val="clear" w:color="auto" w:fill="auto"/>
            <w:vAlign w:val="center"/>
          </w:tcPr>
          <w:p w14:paraId="76DEA197">
            <w:pPr>
              <w:jc w:val="center"/>
              <w:rPr>
                <w:rFonts w:eastAsiaTheme="minorEastAsia"/>
                <w:color w:val="000000" w:themeColor="text1"/>
                <w:sz w:val="18"/>
                <w:szCs w:val="18"/>
              </w:rPr>
            </w:pPr>
            <w:r>
              <w:rPr>
                <w:rFonts w:eastAsiaTheme="minorEastAsia"/>
                <w:color w:val="000000" w:themeColor="text1"/>
                <w:sz w:val="18"/>
                <w:szCs w:val="18"/>
              </w:rPr>
              <w:t>四</w:t>
            </w:r>
          </w:p>
        </w:tc>
        <w:tc>
          <w:tcPr>
            <w:tcW w:w="811" w:type="dxa"/>
            <w:shd w:val="clear" w:color="auto" w:fill="auto"/>
            <w:vAlign w:val="center"/>
          </w:tcPr>
          <w:p w14:paraId="4335C963">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20</w:t>
            </w:r>
          </w:p>
        </w:tc>
        <w:tc>
          <w:tcPr>
            <w:tcW w:w="811" w:type="dxa"/>
            <w:shd w:val="clear" w:color="auto" w:fill="auto"/>
            <w:vAlign w:val="center"/>
          </w:tcPr>
          <w:p w14:paraId="50EA7DD2">
            <w:pPr>
              <w:adjustRightInd w:val="0"/>
              <w:snapToGrid w:val="0"/>
              <w:jc w:val="center"/>
              <w:rPr>
                <w:rFonts w:hint="eastAsia" w:ascii="宋体" w:hAnsi="宋体" w:eastAsia="宋体" w:cs="宋体"/>
                <w:color w:val="000000" w:themeColor="text1"/>
                <w:sz w:val="18"/>
                <w:szCs w:val="18"/>
                <w:lang w:eastAsia="zh-CN"/>
              </w:rPr>
            </w:pPr>
            <w:r>
              <w:rPr>
                <w:rFonts w:hint="default" w:ascii="Times New Roman" w:hAnsi="Times New Roman" w:cs="Times New Roman"/>
                <w:color w:val="000000" w:themeColor="text1"/>
                <w:sz w:val="18"/>
                <w:szCs w:val="18"/>
              </w:rPr>
              <w:t>1</w:t>
            </w:r>
            <w:r>
              <w:rPr>
                <w:rFonts w:hint="default" w:ascii="Times New Roman" w:hAnsi="Times New Roman" w:cs="Times New Roman"/>
                <w:color w:val="000000" w:themeColor="text1"/>
                <w:sz w:val="18"/>
                <w:szCs w:val="18"/>
                <w:lang w:val="en-US" w:eastAsia="zh-CN"/>
              </w:rPr>
              <w:t>8</w:t>
            </w:r>
          </w:p>
        </w:tc>
        <w:tc>
          <w:tcPr>
            <w:tcW w:w="819" w:type="dxa"/>
            <w:shd w:val="clear" w:color="auto" w:fill="auto"/>
            <w:vAlign w:val="center"/>
          </w:tcPr>
          <w:p w14:paraId="16467CA4">
            <w:pPr>
              <w:adjustRightInd w:val="0"/>
              <w:snapToGrid w:val="0"/>
              <w:jc w:val="center"/>
              <w:rPr>
                <w:rFonts w:hint="eastAsia" w:ascii="宋体" w:hAnsi="宋体" w:eastAsia="宋体" w:cs="宋体"/>
                <w:color w:val="000000" w:themeColor="text1"/>
                <w:sz w:val="18"/>
                <w:szCs w:val="18"/>
                <w:lang w:eastAsia="zh-CN"/>
              </w:rPr>
            </w:pPr>
            <w:r>
              <w:rPr>
                <w:rFonts w:hint="default" w:ascii="Times New Roman" w:hAnsi="Times New Roman" w:cs="Times New Roman"/>
                <w:color w:val="000000" w:themeColor="text1"/>
                <w:sz w:val="18"/>
                <w:szCs w:val="18"/>
                <w:lang w:val="en-US" w:eastAsia="zh-CN"/>
              </w:rPr>
              <w:t>0</w:t>
            </w:r>
          </w:p>
        </w:tc>
        <w:tc>
          <w:tcPr>
            <w:tcW w:w="811" w:type="dxa"/>
            <w:shd w:val="clear" w:color="auto" w:fill="auto"/>
            <w:vAlign w:val="center"/>
          </w:tcPr>
          <w:p w14:paraId="215DF79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256" w:type="dxa"/>
            <w:shd w:val="clear" w:color="auto" w:fill="auto"/>
            <w:vAlign w:val="center"/>
          </w:tcPr>
          <w:p w14:paraId="4CD3F4DD">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1100" w:type="dxa"/>
            <w:shd w:val="clear" w:color="auto" w:fill="auto"/>
            <w:vAlign w:val="center"/>
          </w:tcPr>
          <w:p w14:paraId="580744EA">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975" w:type="dxa"/>
            <w:shd w:val="clear" w:color="auto" w:fill="auto"/>
            <w:vAlign w:val="center"/>
          </w:tcPr>
          <w:p w14:paraId="248B4129">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r>
      <w:tr w14:paraId="6E3F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2495" w:type="dxa"/>
            <w:shd w:val="clear" w:color="auto" w:fill="auto"/>
            <w:vAlign w:val="center"/>
          </w:tcPr>
          <w:p w14:paraId="05713F1A">
            <w:pPr>
              <w:jc w:val="center"/>
              <w:rPr>
                <w:rFonts w:eastAsiaTheme="minorEastAsia"/>
                <w:color w:val="000000" w:themeColor="text1"/>
                <w:sz w:val="18"/>
                <w:szCs w:val="18"/>
              </w:rPr>
            </w:pPr>
            <w:r>
              <w:rPr>
                <w:rFonts w:eastAsiaTheme="minorEastAsia"/>
                <w:color w:val="000000" w:themeColor="text1"/>
                <w:sz w:val="18"/>
                <w:szCs w:val="18"/>
              </w:rPr>
              <w:t>五</w:t>
            </w:r>
          </w:p>
        </w:tc>
        <w:tc>
          <w:tcPr>
            <w:tcW w:w="811" w:type="dxa"/>
            <w:shd w:val="clear" w:color="auto" w:fill="auto"/>
            <w:vAlign w:val="center"/>
          </w:tcPr>
          <w:p w14:paraId="49549DE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21</w:t>
            </w:r>
          </w:p>
        </w:tc>
        <w:tc>
          <w:tcPr>
            <w:tcW w:w="811" w:type="dxa"/>
            <w:shd w:val="clear" w:color="auto" w:fill="auto"/>
            <w:vAlign w:val="center"/>
          </w:tcPr>
          <w:p w14:paraId="38424414">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14</w:t>
            </w:r>
          </w:p>
        </w:tc>
        <w:tc>
          <w:tcPr>
            <w:tcW w:w="819" w:type="dxa"/>
            <w:shd w:val="clear" w:color="auto" w:fill="auto"/>
            <w:vAlign w:val="center"/>
          </w:tcPr>
          <w:p w14:paraId="5BC4299D">
            <w:pPr>
              <w:adjustRightInd w:val="0"/>
              <w:snapToGrid w:val="0"/>
              <w:jc w:val="center"/>
              <w:rPr>
                <w:rFonts w:ascii="宋体" w:hAnsi="宋体" w:cs="宋体"/>
                <w:color w:val="000000" w:themeColor="text1"/>
                <w:sz w:val="18"/>
                <w:szCs w:val="18"/>
              </w:rPr>
            </w:pPr>
            <w:r>
              <w:rPr>
                <w:rFonts w:hint="default" w:ascii="Times New Roman" w:hAnsi="Times New Roman" w:cs="Times New Roman"/>
                <w:color w:val="000000" w:themeColor="text1"/>
                <w:sz w:val="18"/>
                <w:szCs w:val="18"/>
              </w:rPr>
              <w:t>4</w:t>
            </w:r>
          </w:p>
        </w:tc>
        <w:tc>
          <w:tcPr>
            <w:tcW w:w="811" w:type="dxa"/>
            <w:shd w:val="clear" w:color="auto" w:fill="auto"/>
            <w:vAlign w:val="center"/>
          </w:tcPr>
          <w:p w14:paraId="3C306E9C">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256" w:type="dxa"/>
            <w:shd w:val="clear" w:color="auto" w:fill="auto"/>
            <w:vAlign w:val="center"/>
          </w:tcPr>
          <w:p w14:paraId="16B18DC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1100" w:type="dxa"/>
            <w:shd w:val="clear" w:color="auto" w:fill="auto"/>
            <w:vAlign w:val="center"/>
          </w:tcPr>
          <w:p w14:paraId="0EC7D3D6">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975" w:type="dxa"/>
            <w:shd w:val="clear" w:color="auto" w:fill="auto"/>
            <w:vAlign w:val="center"/>
          </w:tcPr>
          <w:p w14:paraId="457753CA">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w:t>
            </w:r>
          </w:p>
        </w:tc>
      </w:tr>
      <w:tr w14:paraId="100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shd w:val="clear" w:color="auto" w:fill="auto"/>
            <w:vAlign w:val="center"/>
          </w:tcPr>
          <w:p w14:paraId="452D0107">
            <w:pPr>
              <w:jc w:val="center"/>
              <w:rPr>
                <w:rFonts w:eastAsiaTheme="minorEastAsia"/>
                <w:color w:val="000000" w:themeColor="text1"/>
                <w:sz w:val="18"/>
                <w:szCs w:val="18"/>
              </w:rPr>
            </w:pPr>
            <w:r>
              <w:rPr>
                <w:rFonts w:eastAsiaTheme="minorEastAsia"/>
                <w:color w:val="000000" w:themeColor="text1"/>
                <w:sz w:val="18"/>
                <w:szCs w:val="18"/>
              </w:rPr>
              <w:t>六</w:t>
            </w:r>
          </w:p>
        </w:tc>
        <w:tc>
          <w:tcPr>
            <w:tcW w:w="811" w:type="dxa"/>
            <w:shd w:val="clear" w:color="auto" w:fill="auto"/>
            <w:vAlign w:val="center"/>
          </w:tcPr>
          <w:p w14:paraId="225057F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19</w:t>
            </w:r>
          </w:p>
        </w:tc>
        <w:tc>
          <w:tcPr>
            <w:tcW w:w="811" w:type="dxa"/>
            <w:shd w:val="clear" w:color="auto" w:fill="auto"/>
            <w:vAlign w:val="center"/>
          </w:tcPr>
          <w:p w14:paraId="7DBA23EB">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819" w:type="dxa"/>
            <w:shd w:val="clear" w:color="auto" w:fill="auto"/>
            <w:vAlign w:val="center"/>
          </w:tcPr>
          <w:p w14:paraId="7721D41D">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18</w:t>
            </w:r>
          </w:p>
        </w:tc>
        <w:tc>
          <w:tcPr>
            <w:tcW w:w="811" w:type="dxa"/>
            <w:shd w:val="clear" w:color="auto" w:fill="auto"/>
            <w:vAlign w:val="center"/>
          </w:tcPr>
          <w:p w14:paraId="7E69CBA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1256" w:type="dxa"/>
            <w:shd w:val="clear" w:color="auto" w:fill="auto"/>
            <w:vAlign w:val="center"/>
          </w:tcPr>
          <w:p w14:paraId="5F1706E7">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w:t>
            </w:r>
          </w:p>
        </w:tc>
        <w:tc>
          <w:tcPr>
            <w:tcW w:w="1100" w:type="dxa"/>
            <w:shd w:val="clear" w:color="auto" w:fill="auto"/>
            <w:vAlign w:val="center"/>
          </w:tcPr>
          <w:p w14:paraId="4F50B8BD">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c>
          <w:tcPr>
            <w:tcW w:w="975" w:type="dxa"/>
            <w:shd w:val="clear" w:color="auto" w:fill="auto"/>
            <w:vAlign w:val="center"/>
          </w:tcPr>
          <w:p w14:paraId="6BC20E88">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0</w:t>
            </w:r>
          </w:p>
        </w:tc>
      </w:tr>
      <w:tr w14:paraId="0911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495" w:type="dxa"/>
            <w:shd w:val="clear" w:color="auto" w:fill="auto"/>
            <w:vAlign w:val="center"/>
          </w:tcPr>
          <w:p w14:paraId="25413E54">
            <w:pPr>
              <w:jc w:val="center"/>
              <w:rPr>
                <w:rFonts w:eastAsiaTheme="minorEastAsia"/>
                <w:color w:val="000000" w:themeColor="text1"/>
                <w:sz w:val="18"/>
                <w:szCs w:val="18"/>
              </w:rPr>
            </w:pPr>
            <w:r>
              <w:rPr>
                <w:rFonts w:eastAsiaTheme="minorEastAsia"/>
                <w:color w:val="000000" w:themeColor="text1"/>
                <w:sz w:val="18"/>
                <w:szCs w:val="18"/>
              </w:rPr>
              <w:t>总计</w:t>
            </w:r>
          </w:p>
        </w:tc>
        <w:tc>
          <w:tcPr>
            <w:tcW w:w="811" w:type="dxa"/>
            <w:shd w:val="clear" w:color="auto" w:fill="auto"/>
            <w:vAlign w:val="center"/>
          </w:tcPr>
          <w:p w14:paraId="0F1361FF">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120</w:t>
            </w:r>
          </w:p>
        </w:tc>
        <w:tc>
          <w:tcPr>
            <w:tcW w:w="811" w:type="dxa"/>
            <w:shd w:val="clear" w:color="auto" w:fill="auto"/>
            <w:vAlign w:val="center"/>
          </w:tcPr>
          <w:p w14:paraId="342EC4D3">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83</w:t>
            </w:r>
          </w:p>
        </w:tc>
        <w:tc>
          <w:tcPr>
            <w:tcW w:w="819" w:type="dxa"/>
            <w:shd w:val="clear" w:color="auto" w:fill="auto"/>
            <w:vAlign w:val="center"/>
          </w:tcPr>
          <w:p w14:paraId="148B062C">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23</w:t>
            </w:r>
          </w:p>
        </w:tc>
        <w:tc>
          <w:tcPr>
            <w:tcW w:w="811" w:type="dxa"/>
            <w:shd w:val="clear" w:color="auto" w:fill="auto"/>
            <w:vAlign w:val="center"/>
          </w:tcPr>
          <w:p w14:paraId="1B5A76CC">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5</w:t>
            </w:r>
          </w:p>
        </w:tc>
        <w:tc>
          <w:tcPr>
            <w:tcW w:w="1256" w:type="dxa"/>
            <w:shd w:val="clear" w:color="auto" w:fill="auto"/>
            <w:vAlign w:val="center"/>
          </w:tcPr>
          <w:p w14:paraId="4B637252">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w:t>
            </w:r>
          </w:p>
        </w:tc>
        <w:tc>
          <w:tcPr>
            <w:tcW w:w="1100" w:type="dxa"/>
            <w:shd w:val="clear" w:color="auto" w:fill="auto"/>
            <w:vAlign w:val="center"/>
          </w:tcPr>
          <w:p w14:paraId="4F25A591">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5</w:t>
            </w:r>
          </w:p>
        </w:tc>
        <w:tc>
          <w:tcPr>
            <w:tcW w:w="975" w:type="dxa"/>
            <w:shd w:val="clear" w:color="auto" w:fill="auto"/>
            <w:vAlign w:val="center"/>
          </w:tcPr>
          <w:p w14:paraId="534DC078">
            <w:pPr>
              <w:jc w:val="center"/>
              <w:rPr>
                <w:rFonts w:eastAsiaTheme="minorEastAsia"/>
                <w:color w:val="000000" w:themeColor="text1"/>
                <w:sz w:val="18"/>
                <w:szCs w:val="18"/>
              </w:rPr>
            </w:pPr>
            <w:r>
              <w:rPr>
                <w:rFonts w:hint="default" w:ascii="Times New Roman" w:hAnsi="Times New Roman" w:cs="Times New Roman" w:eastAsiaTheme="minorEastAsia"/>
                <w:color w:val="000000" w:themeColor="text1"/>
                <w:sz w:val="18"/>
                <w:szCs w:val="18"/>
              </w:rPr>
              <w:t>2</w:t>
            </w:r>
          </w:p>
        </w:tc>
      </w:tr>
    </w:tbl>
    <w:p w14:paraId="46B50988">
      <w:pPr>
        <w:spacing w:line="400" w:lineRule="exact"/>
        <w:ind w:firstLine="360" w:firstLineChars="200"/>
        <w:rPr>
          <w:rFonts w:eastAsiaTheme="minorEastAsia"/>
          <w:sz w:val="18"/>
          <w:szCs w:val="18"/>
        </w:rPr>
      </w:pPr>
      <w:r>
        <w:rPr>
          <w:rFonts w:eastAsiaTheme="minorEastAsia"/>
          <w:sz w:val="18"/>
          <w:szCs w:val="18"/>
        </w:rPr>
        <w:t>注:第</w:t>
      </w:r>
      <w:r>
        <w:rPr>
          <w:rFonts w:hint="default" w:ascii="Times New Roman" w:hAnsi="Times New Roman" w:cs="Times New Roman" w:eastAsiaTheme="minorEastAsia"/>
          <w:sz w:val="18"/>
          <w:szCs w:val="18"/>
        </w:rPr>
        <w:t>5</w:t>
      </w:r>
      <w:r>
        <w:rPr>
          <w:rFonts w:eastAsiaTheme="minorEastAsia"/>
          <w:sz w:val="18"/>
          <w:szCs w:val="18"/>
        </w:rPr>
        <w:t>学期各专业统一安排社会实践</w:t>
      </w:r>
      <w:r>
        <w:rPr>
          <w:rFonts w:hint="default" w:ascii="Times New Roman" w:hAnsi="Times New Roman" w:cs="Times New Roman" w:eastAsiaTheme="minorEastAsia"/>
          <w:sz w:val="18"/>
          <w:szCs w:val="18"/>
        </w:rPr>
        <w:t>2</w:t>
      </w:r>
      <w:r>
        <w:rPr>
          <w:rFonts w:eastAsiaTheme="minorEastAsia"/>
          <w:sz w:val="18"/>
          <w:szCs w:val="18"/>
        </w:rPr>
        <w:t>周，完成第二课堂教学相关要求。</w:t>
      </w:r>
    </w:p>
    <w:p w14:paraId="19933576">
      <w:pPr>
        <w:spacing w:line="400" w:lineRule="exact"/>
        <w:ind w:firstLine="422" w:firstLineChars="200"/>
        <w:jc w:val="left"/>
        <w:outlineLvl w:val="0"/>
        <w:rPr>
          <w:b/>
          <w:bCs/>
          <w:color w:val="000000"/>
          <w:kern w:val="0"/>
          <w:szCs w:val="21"/>
        </w:rPr>
      </w:pPr>
      <w:r>
        <w:rPr>
          <w:b/>
          <w:bCs/>
          <w:color w:val="000000"/>
          <w:kern w:val="0"/>
          <w:szCs w:val="21"/>
        </w:rPr>
        <w:t>（二）课程设置及学时安排</w:t>
      </w:r>
    </w:p>
    <w:p w14:paraId="292B0D53">
      <w:pPr>
        <w:spacing w:line="400" w:lineRule="exact"/>
        <w:ind w:firstLine="420" w:firstLineChars="200"/>
        <w:jc w:val="left"/>
      </w:pPr>
      <w:r>
        <w:rPr>
          <w:kern w:val="0"/>
          <w:szCs w:val="21"/>
        </w:rPr>
        <w:t>见附件</w:t>
      </w:r>
      <w:r>
        <w:rPr>
          <w:rFonts w:hint="default" w:ascii="Times New Roman" w:hAnsi="Times New Roman" w:cs="Times New Roman"/>
          <w:kern w:val="0"/>
          <w:szCs w:val="21"/>
        </w:rPr>
        <w:t>2</w:t>
      </w:r>
      <w:r>
        <w:rPr>
          <w:kern w:val="0"/>
          <w:szCs w:val="21"/>
        </w:rPr>
        <w:t>：</w:t>
      </w:r>
      <w:r>
        <w:rPr>
          <w:rFonts w:hint="default" w:ascii="Times New Roman" w:hAnsi="Times New Roman" w:cs="Times New Roman"/>
          <w:kern w:val="0"/>
          <w:szCs w:val="21"/>
        </w:rPr>
        <w:t>202</w:t>
      </w:r>
      <w:r>
        <w:rPr>
          <w:rFonts w:hint="default" w:ascii="Times New Roman" w:hAnsi="Times New Roman" w:cs="Times New Roman"/>
          <w:kern w:val="0"/>
          <w:szCs w:val="21"/>
          <w:lang w:val="en-US" w:eastAsia="zh-CN"/>
        </w:rPr>
        <w:t>4</w:t>
      </w:r>
      <w:r>
        <w:rPr>
          <w:kern w:val="0"/>
          <w:szCs w:val="21"/>
        </w:rPr>
        <w:t>级</w:t>
      </w:r>
      <w:r>
        <w:rPr>
          <w:rFonts w:hint="eastAsia"/>
          <w:kern w:val="0"/>
          <w:szCs w:val="21"/>
        </w:rPr>
        <w:t>大数据与会计</w:t>
      </w:r>
      <w:r>
        <w:rPr>
          <w:kern w:val="0"/>
          <w:szCs w:val="21"/>
        </w:rPr>
        <w:t>专业课程设置及学时安排表</w:t>
      </w:r>
    </w:p>
    <w:p w14:paraId="09417A49">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八、师资队伍</w:t>
      </w:r>
    </w:p>
    <w:p w14:paraId="53243A0D">
      <w:pPr>
        <w:spacing w:line="400" w:lineRule="exact"/>
        <w:ind w:firstLine="422" w:firstLineChars="200"/>
        <w:outlineLvl w:val="0"/>
        <w:rPr>
          <w:rFonts w:ascii="宋体" w:hAnsi="宋体"/>
          <w:b/>
          <w:bCs/>
          <w:color w:val="000000" w:themeColor="text1"/>
          <w:szCs w:val="21"/>
        </w:rPr>
      </w:pPr>
      <w:r>
        <w:rPr>
          <w:rFonts w:hint="eastAsia" w:ascii="宋体" w:hAnsi="宋体"/>
          <w:b/>
          <w:bCs/>
          <w:color w:val="000000" w:themeColor="text1"/>
          <w:szCs w:val="21"/>
        </w:rPr>
        <w:t>（一）校内专任教师</w:t>
      </w:r>
    </w:p>
    <w:p w14:paraId="162C556A">
      <w:pPr>
        <w:spacing w:line="400" w:lineRule="exact"/>
        <w:ind w:firstLine="420" w:firstLineChars="200"/>
        <w:rPr>
          <w:rFonts w:ascii="宋体" w:hAnsi="宋体"/>
          <w:color w:val="000000" w:themeColor="text1"/>
          <w:szCs w:val="21"/>
        </w:rPr>
      </w:pPr>
      <w:r>
        <w:rPr>
          <w:rFonts w:hint="default" w:ascii="Times New Roman" w:hAnsi="Times New Roman" w:cs="Times New Roman"/>
          <w:color w:val="000000" w:themeColor="text1"/>
          <w:szCs w:val="21"/>
        </w:rPr>
        <w:t>1</w:t>
      </w:r>
      <w:r>
        <w:rPr>
          <w:rFonts w:hint="eastAsia" w:ascii="宋体" w:hAnsi="宋体"/>
          <w:color w:val="000000" w:themeColor="text1"/>
          <w:szCs w:val="21"/>
        </w:rPr>
        <w:t>、校内专任教师应具备的条件</w:t>
      </w:r>
    </w:p>
    <w:p w14:paraId="007A7CEC">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双师素质教师占专业课教师比例不低于</w:t>
      </w:r>
      <w:r>
        <w:rPr>
          <w:rFonts w:hint="default" w:ascii="Times New Roman" w:hAnsi="Times New Roman" w:cs="Times New Roman"/>
          <w:color w:val="000000" w:themeColor="text1"/>
          <w:szCs w:val="21"/>
        </w:rPr>
        <w:t>60</w:t>
      </w:r>
      <w:r>
        <w:rPr>
          <w:rFonts w:hint="eastAsia" w:ascii="宋体" w:hAnsi="宋体"/>
          <w:color w:val="000000" w:themeColor="text1"/>
          <w:szCs w:val="21"/>
        </w:rPr>
        <w:t>%。专任教师应具备高校教师资格、本科及以上学历，具有良好的师德，具备实施会计专业教学能力和职业实践能力，具有一定的科研能力。专业带头人应熟悉本专业前沿动态，能够较好地把握行业发展对职业人才的需求，能准确定位本专业培养目标，科学设计本专业课程体系，原则上应具备副高级及以上职称。</w:t>
      </w:r>
    </w:p>
    <w:p w14:paraId="56307B37">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r>
        <w:rPr>
          <w:rFonts w:hint="default" w:ascii="Times New Roman" w:hAnsi="Times New Roman" w:cs="Times New Roman"/>
          <w:color w:val="000000" w:themeColor="text1"/>
          <w:szCs w:val="21"/>
        </w:rPr>
        <w:t>2</w:t>
      </w:r>
      <w:r>
        <w:rPr>
          <w:rFonts w:hint="eastAsia" w:ascii="宋体" w:hAnsi="宋体"/>
          <w:color w:val="000000" w:themeColor="text1"/>
          <w:szCs w:val="21"/>
        </w:rPr>
        <w:t>）校内专任教师现状</w:t>
      </w:r>
    </w:p>
    <w:p w14:paraId="41B32608">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目前有专任教师</w:t>
      </w:r>
      <w:r>
        <w:rPr>
          <w:rFonts w:hint="default" w:ascii="Times New Roman" w:hAnsi="Times New Roman" w:cs="Times New Roman"/>
          <w:color w:val="000000" w:themeColor="text1"/>
          <w:szCs w:val="21"/>
        </w:rPr>
        <w:t>1</w:t>
      </w:r>
      <w:r>
        <w:rPr>
          <w:rFonts w:hint="default" w:ascii="Times New Roman" w:hAnsi="Times New Roman" w:cs="Times New Roman"/>
          <w:color w:val="000000" w:themeColor="text1"/>
          <w:szCs w:val="21"/>
          <w:lang w:val="en-US" w:eastAsia="zh-CN"/>
        </w:rPr>
        <w:t>3</w:t>
      </w:r>
      <w:r>
        <w:rPr>
          <w:rFonts w:hint="eastAsia" w:ascii="宋体" w:hAnsi="宋体"/>
          <w:color w:val="000000" w:themeColor="text1"/>
          <w:szCs w:val="21"/>
        </w:rPr>
        <w:t>人，</w:t>
      </w:r>
      <w:r>
        <w:rPr>
          <w:rFonts w:hint="eastAsia" w:ascii="宋体" w:hAnsi="宋体"/>
          <w:color w:val="000000" w:themeColor="text1"/>
          <w:szCs w:val="21"/>
          <w:lang w:val="en-US" w:eastAsia="zh-CN"/>
        </w:rPr>
        <w:t>教授</w:t>
      </w:r>
      <w:r>
        <w:rPr>
          <w:rFonts w:hint="default" w:ascii="Times New Roman" w:hAnsi="Times New Roman" w:cs="Times New Roman"/>
          <w:color w:val="000000" w:themeColor="text1"/>
          <w:szCs w:val="21"/>
          <w:lang w:val="en-US" w:eastAsia="zh-CN"/>
        </w:rPr>
        <w:t>1</w:t>
      </w:r>
      <w:r>
        <w:rPr>
          <w:rFonts w:hint="eastAsia" w:ascii="宋体" w:hAnsi="宋体"/>
          <w:color w:val="000000" w:themeColor="text1"/>
          <w:szCs w:val="21"/>
          <w:lang w:val="en-US" w:eastAsia="zh-CN"/>
        </w:rPr>
        <w:t>人、副教授</w:t>
      </w:r>
      <w:r>
        <w:rPr>
          <w:rFonts w:hint="default" w:ascii="Times New Roman" w:hAnsi="Times New Roman" w:cs="Times New Roman"/>
          <w:color w:val="000000" w:themeColor="text1"/>
          <w:szCs w:val="21"/>
          <w:lang w:val="en-US" w:eastAsia="zh-CN"/>
        </w:rPr>
        <w:t>3</w:t>
      </w:r>
      <w:r>
        <w:rPr>
          <w:rFonts w:hint="eastAsia" w:ascii="宋体" w:hAnsi="宋体"/>
          <w:color w:val="000000" w:themeColor="text1"/>
          <w:szCs w:val="21"/>
          <w:lang w:val="en-US" w:eastAsia="zh-CN"/>
        </w:rPr>
        <w:t>人</w:t>
      </w:r>
      <w:r>
        <w:rPr>
          <w:rFonts w:hint="eastAsia" w:ascii="宋体" w:hAnsi="宋体"/>
          <w:color w:val="000000" w:themeColor="text1"/>
          <w:szCs w:val="21"/>
        </w:rPr>
        <w:t>，</w:t>
      </w:r>
      <w:r>
        <w:rPr>
          <w:rFonts w:hint="eastAsia" w:ascii="宋体" w:hAnsi="宋体"/>
          <w:color w:val="000000" w:themeColor="text1"/>
          <w:szCs w:val="21"/>
          <w:lang w:val="en-US" w:eastAsia="zh-CN"/>
        </w:rPr>
        <w:t>博士</w:t>
      </w:r>
      <w:r>
        <w:rPr>
          <w:rFonts w:hint="default" w:ascii="Times New Roman" w:hAnsi="Times New Roman" w:cs="Times New Roman"/>
          <w:color w:val="000000" w:themeColor="text1"/>
          <w:szCs w:val="21"/>
          <w:lang w:val="en-US" w:eastAsia="zh-CN"/>
        </w:rPr>
        <w:t>2</w:t>
      </w:r>
      <w:r>
        <w:rPr>
          <w:rFonts w:hint="eastAsia" w:ascii="宋体" w:hAnsi="宋体"/>
          <w:color w:val="000000" w:themeColor="text1"/>
          <w:szCs w:val="21"/>
          <w:lang w:val="en-US" w:eastAsia="zh-CN"/>
        </w:rPr>
        <w:t>人、</w:t>
      </w:r>
      <w:r>
        <w:rPr>
          <w:rFonts w:hint="eastAsia" w:ascii="宋体" w:hAnsi="宋体"/>
          <w:color w:val="000000" w:themeColor="text1"/>
          <w:szCs w:val="21"/>
        </w:rPr>
        <w:t>硕士</w:t>
      </w:r>
      <w:r>
        <w:rPr>
          <w:rFonts w:hint="default" w:ascii="Times New Roman" w:hAnsi="Times New Roman" w:cs="Times New Roman"/>
          <w:color w:val="000000" w:themeColor="text1"/>
          <w:szCs w:val="21"/>
          <w:lang w:val="en-US" w:eastAsia="zh-CN"/>
        </w:rPr>
        <w:t>7</w:t>
      </w:r>
      <w:r>
        <w:rPr>
          <w:rFonts w:hint="eastAsia" w:ascii="宋体" w:hAnsi="宋体"/>
          <w:color w:val="000000" w:themeColor="text1"/>
          <w:szCs w:val="21"/>
        </w:rPr>
        <w:t>人，双师素质教师占比</w:t>
      </w:r>
      <w:r>
        <w:rPr>
          <w:rFonts w:hint="default" w:ascii="Times New Roman" w:hAnsi="Times New Roman" w:cs="Times New Roman"/>
          <w:color w:val="000000" w:themeColor="text1"/>
          <w:szCs w:val="21"/>
        </w:rPr>
        <w:t>100</w:t>
      </w:r>
      <w:r>
        <w:rPr>
          <w:rFonts w:hint="eastAsia" w:ascii="宋体" w:hAnsi="宋体"/>
          <w:color w:val="000000" w:themeColor="text1"/>
          <w:szCs w:val="21"/>
        </w:rPr>
        <w:t>%。</w:t>
      </w:r>
    </w:p>
    <w:p w14:paraId="57B4C62A">
      <w:pPr>
        <w:spacing w:line="400" w:lineRule="exact"/>
        <w:ind w:firstLine="420" w:firstLineChars="200"/>
        <w:rPr>
          <w:rFonts w:ascii="宋体" w:hAnsi="宋体"/>
          <w:color w:val="000000" w:themeColor="text1"/>
          <w:szCs w:val="21"/>
        </w:rPr>
      </w:pPr>
      <w:r>
        <w:rPr>
          <w:rFonts w:hint="default" w:ascii="Times New Roman" w:hAnsi="Times New Roman" w:cs="Times New Roman"/>
          <w:color w:val="000000" w:themeColor="text1"/>
          <w:szCs w:val="21"/>
        </w:rPr>
        <w:t>2</w:t>
      </w:r>
      <w:r>
        <w:rPr>
          <w:rFonts w:hint="eastAsia" w:ascii="宋体" w:hAnsi="宋体"/>
          <w:color w:val="000000" w:themeColor="text1"/>
          <w:szCs w:val="21"/>
        </w:rPr>
        <w:t>.校内兼课教师</w:t>
      </w:r>
    </w:p>
    <w:p w14:paraId="6931B712">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r>
        <w:rPr>
          <w:rFonts w:hint="default" w:ascii="Times New Roman" w:hAnsi="Times New Roman" w:cs="Times New Roman"/>
          <w:color w:val="000000" w:themeColor="text1"/>
          <w:szCs w:val="21"/>
        </w:rPr>
        <w:t>1</w:t>
      </w:r>
      <w:r>
        <w:rPr>
          <w:rFonts w:hint="eastAsia" w:ascii="宋体" w:hAnsi="宋体"/>
          <w:color w:val="000000" w:themeColor="text1"/>
          <w:szCs w:val="21"/>
        </w:rPr>
        <w:t>）校内兼课教师应具备的条件</w:t>
      </w:r>
    </w:p>
    <w:p w14:paraId="1A9F0385">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兼职教师从行业、企业会计职业一线聘请，具备一定教育教学能力，具有本科及以上学历，中级及以上会计相关职业技术资格、</w:t>
      </w:r>
      <w:r>
        <w:rPr>
          <w:rFonts w:hint="default" w:ascii="Times New Roman" w:hAnsi="Times New Roman" w:cs="Times New Roman"/>
          <w:color w:val="000000" w:themeColor="text1"/>
          <w:szCs w:val="21"/>
        </w:rPr>
        <w:t>5</w:t>
      </w:r>
      <w:r>
        <w:rPr>
          <w:rFonts w:hint="eastAsia" w:ascii="宋体" w:hAnsi="宋体"/>
          <w:color w:val="000000" w:themeColor="text1"/>
          <w:szCs w:val="21"/>
        </w:rPr>
        <w:t>年及以上行业企业工作经历，政治素质高，职业能力强，职业态度好。</w:t>
      </w:r>
    </w:p>
    <w:p w14:paraId="296257FF">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r>
        <w:rPr>
          <w:rFonts w:hint="default" w:ascii="Times New Roman" w:hAnsi="Times New Roman" w:cs="Times New Roman"/>
          <w:color w:val="000000" w:themeColor="text1"/>
          <w:szCs w:val="21"/>
        </w:rPr>
        <w:t>2</w:t>
      </w:r>
      <w:r>
        <w:rPr>
          <w:rFonts w:hint="eastAsia" w:ascii="宋体" w:hAnsi="宋体"/>
          <w:color w:val="000000" w:themeColor="text1"/>
          <w:szCs w:val="21"/>
        </w:rPr>
        <w:t>）校内兼课教师现状</w:t>
      </w:r>
    </w:p>
    <w:p w14:paraId="4C142938">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目前有校内兼职教师</w:t>
      </w:r>
      <w:r>
        <w:rPr>
          <w:rFonts w:hint="default" w:ascii="Times New Roman" w:hAnsi="Times New Roman" w:cs="Times New Roman"/>
          <w:color w:val="000000" w:themeColor="text1"/>
          <w:szCs w:val="21"/>
          <w:lang w:val="en-US" w:eastAsia="zh-CN"/>
        </w:rPr>
        <w:t>1</w:t>
      </w:r>
      <w:r>
        <w:rPr>
          <w:rFonts w:hint="eastAsia" w:ascii="宋体" w:hAnsi="宋体"/>
          <w:color w:val="000000" w:themeColor="text1"/>
          <w:szCs w:val="21"/>
        </w:rPr>
        <w:t>人，高级职称</w:t>
      </w:r>
      <w:r>
        <w:rPr>
          <w:rFonts w:hint="default" w:ascii="Times New Roman" w:hAnsi="Times New Roman" w:cs="Times New Roman"/>
          <w:color w:val="000000" w:themeColor="text1"/>
          <w:szCs w:val="21"/>
          <w:lang w:val="en-US" w:eastAsia="zh-CN"/>
        </w:rPr>
        <w:t>1</w:t>
      </w:r>
      <w:r>
        <w:rPr>
          <w:rFonts w:hint="eastAsia" w:ascii="宋体" w:hAnsi="宋体"/>
          <w:color w:val="000000" w:themeColor="text1"/>
          <w:szCs w:val="21"/>
        </w:rPr>
        <w:t>人。</w:t>
      </w:r>
    </w:p>
    <w:p w14:paraId="0AA767CC">
      <w:pPr>
        <w:spacing w:line="400" w:lineRule="exact"/>
        <w:ind w:firstLine="420" w:firstLineChars="200"/>
        <w:outlineLvl w:val="0"/>
        <w:rPr>
          <w:rFonts w:ascii="宋体" w:hAnsi="宋体"/>
          <w:color w:val="000000" w:themeColor="text1"/>
          <w:szCs w:val="21"/>
        </w:rPr>
      </w:pPr>
      <w:r>
        <w:rPr>
          <w:rFonts w:hint="default" w:ascii="Times New Roman" w:hAnsi="Times New Roman" w:cs="Times New Roman"/>
          <w:color w:val="000000" w:themeColor="text1"/>
          <w:szCs w:val="21"/>
        </w:rPr>
        <w:t>3</w:t>
      </w:r>
      <w:r>
        <w:rPr>
          <w:rFonts w:hint="eastAsia" w:ascii="宋体" w:hAnsi="宋体"/>
          <w:color w:val="000000" w:themeColor="text1"/>
          <w:szCs w:val="21"/>
        </w:rPr>
        <w:t>. 行业企业教师</w:t>
      </w:r>
    </w:p>
    <w:p w14:paraId="10D7131E">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r>
        <w:rPr>
          <w:rFonts w:hint="default" w:ascii="Times New Roman" w:hAnsi="Times New Roman" w:cs="Times New Roman"/>
          <w:color w:val="000000" w:themeColor="text1"/>
          <w:szCs w:val="21"/>
        </w:rPr>
        <w:t>1</w:t>
      </w:r>
      <w:r>
        <w:rPr>
          <w:rFonts w:hint="eastAsia" w:ascii="宋体" w:hAnsi="宋体"/>
          <w:color w:val="000000" w:themeColor="text1"/>
          <w:szCs w:val="21"/>
        </w:rPr>
        <w:t>）行业企业教师应具备的条件</w:t>
      </w:r>
    </w:p>
    <w:p w14:paraId="5354FF65">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从事企业会计工作，具备良好的思想政治素质、职业道德和工匠精神，具有扎实的专业知识和丰富的实际工作经验，</w:t>
      </w:r>
      <w:bookmarkStart w:id="3" w:name="_Hlk12123714"/>
      <w:r>
        <w:rPr>
          <w:rFonts w:hint="eastAsia" w:ascii="宋体" w:hAnsi="宋体"/>
          <w:color w:val="000000" w:themeColor="text1"/>
          <w:szCs w:val="21"/>
        </w:rPr>
        <w:t>具有中级及以上相关专业职称</w:t>
      </w:r>
      <w:bookmarkEnd w:id="3"/>
      <w:r>
        <w:rPr>
          <w:rFonts w:hint="eastAsia" w:ascii="宋体" w:hAnsi="宋体"/>
          <w:color w:val="000000" w:themeColor="text1"/>
          <w:szCs w:val="21"/>
        </w:rPr>
        <w:t>，能承担课程与实训教学、实习指导等专业教学任务。</w:t>
      </w:r>
    </w:p>
    <w:p w14:paraId="49D7D603">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r>
        <w:rPr>
          <w:rFonts w:hint="default" w:ascii="Times New Roman" w:hAnsi="Times New Roman" w:cs="Times New Roman"/>
          <w:color w:val="000000" w:themeColor="text1"/>
          <w:szCs w:val="21"/>
        </w:rPr>
        <w:t>2</w:t>
      </w:r>
      <w:r>
        <w:rPr>
          <w:rFonts w:hint="eastAsia" w:ascii="宋体" w:hAnsi="宋体"/>
          <w:color w:val="000000" w:themeColor="text1"/>
          <w:szCs w:val="21"/>
        </w:rPr>
        <w:t>）行业企业教师现状</w:t>
      </w:r>
    </w:p>
    <w:p w14:paraId="358D821D">
      <w:pPr>
        <w:spacing w:line="400" w:lineRule="exact"/>
        <w:ind w:firstLine="420" w:firstLineChars="200"/>
        <w:rPr>
          <w:rFonts w:eastAsia="仿宋_GB2312"/>
          <w:i/>
          <w:iCs/>
          <w:color w:val="0000FF"/>
          <w:kern w:val="0"/>
          <w:sz w:val="18"/>
          <w:szCs w:val="18"/>
        </w:rPr>
      </w:pPr>
      <w:r>
        <w:rPr>
          <w:rFonts w:hint="eastAsia" w:ascii="宋体" w:hAnsi="宋体"/>
          <w:color w:val="000000" w:themeColor="text1"/>
          <w:szCs w:val="21"/>
        </w:rPr>
        <w:t>目前有行业企业教师</w:t>
      </w:r>
      <w:r>
        <w:rPr>
          <w:rFonts w:hint="default" w:ascii="Times New Roman" w:hAnsi="Times New Roman" w:cs="Times New Roman"/>
          <w:color w:val="000000" w:themeColor="text1"/>
          <w:szCs w:val="21"/>
        </w:rPr>
        <w:t>10</w:t>
      </w:r>
      <w:r>
        <w:rPr>
          <w:rFonts w:hint="eastAsia" w:ascii="宋体" w:hAnsi="宋体"/>
          <w:color w:val="000000" w:themeColor="text1"/>
          <w:szCs w:val="21"/>
        </w:rPr>
        <w:t>余名，均具有中级及以上相关专业职称。</w:t>
      </w:r>
    </w:p>
    <w:p w14:paraId="142EDDBC">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九、教学条件</w:t>
      </w:r>
    </w:p>
    <w:p w14:paraId="67A22A29">
      <w:pPr>
        <w:spacing w:line="400" w:lineRule="exact"/>
        <w:ind w:firstLine="422" w:firstLineChars="200"/>
        <w:jc w:val="left"/>
        <w:outlineLvl w:val="0"/>
        <w:rPr>
          <w:rFonts w:eastAsia="仿宋_GB2312"/>
          <w:i/>
          <w:iCs/>
          <w:color w:val="0000FF"/>
          <w:kern w:val="0"/>
          <w:sz w:val="18"/>
          <w:szCs w:val="18"/>
        </w:rPr>
      </w:pPr>
      <w:r>
        <w:rPr>
          <w:b/>
          <w:bCs/>
          <w:color w:val="000000"/>
          <w:kern w:val="0"/>
          <w:szCs w:val="21"/>
        </w:rPr>
        <w:t>（一）教学设施配置标准</w:t>
      </w:r>
    </w:p>
    <w:p w14:paraId="6F15D9B7">
      <w:pPr>
        <w:spacing w:line="400" w:lineRule="exact"/>
        <w:ind w:firstLine="420" w:firstLineChars="200"/>
        <w:rPr>
          <w:rFonts w:ascii="宋体" w:hAnsi="宋体"/>
          <w:color w:val="000000" w:themeColor="text1"/>
          <w:szCs w:val="21"/>
        </w:rPr>
      </w:pPr>
      <w:r>
        <w:rPr>
          <w:rFonts w:hint="default" w:ascii="Times New Roman" w:hAnsi="Times New Roman" w:cs="Times New Roman"/>
          <w:color w:val="000000" w:themeColor="text1"/>
          <w:szCs w:val="21"/>
        </w:rPr>
        <w:t>1</w:t>
      </w:r>
      <w:r>
        <w:rPr>
          <w:rFonts w:hint="eastAsia" w:ascii="宋体" w:hAnsi="宋体"/>
          <w:color w:val="000000" w:themeColor="text1"/>
          <w:szCs w:val="21"/>
        </w:rPr>
        <w:t>.校内实训基地</w:t>
      </w:r>
    </w:p>
    <w:p w14:paraId="3E0A3440">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本专业校内建有会计手工实训室、财务会计综合实训室、管理会计综合实训室、会计信息化实训室、</w:t>
      </w:r>
      <w:r>
        <w:rPr>
          <w:rFonts w:hint="eastAsia" w:ascii="宋体" w:hAnsi="宋体"/>
          <w:color w:val="000000" w:themeColor="text1"/>
          <w:szCs w:val="21"/>
          <w:lang w:val="en-US" w:eastAsia="zh-CN"/>
        </w:rPr>
        <w:t>智慧财经</w:t>
      </w:r>
      <w:r>
        <w:rPr>
          <w:rFonts w:hint="eastAsia" w:ascii="宋体" w:hAnsi="宋体"/>
          <w:color w:val="000000" w:themeColor="text1"/>
          <w:szCs w:val="21"/>
        </w:rPr>
        <w:t>实训室等</w:t>
      </w:r>
      <w:r>
        <w:rPr>
          <w:rFonts w:hint="default" w:ascii="Times New Roman" w:hAnsi="Times New Roman" w:cs="Times New Roman"/>
          <w:color w:val="000000" w:themeColor="text1"/>
          <w:szCs w:val="21"/>
        </w:rPr>
        <w:t>8</w:t>
      </w:r>
      <w:r>
        <w:rPr>
          <w:rFonts w:hint="eastAsia" w:ascii="宋体" w:hAnsi="宋体"/>
          <w:color w:val="000000" w:themeColor="text1"/>
          <w:szCs w:val="21"/>
        </w:rPr>
        <w:t>个实训室，完全能满足专业校内实训教学要求。</w:t>
      </w:r>
    </w:p>
    <w:p w14:paraId="78877A04">
      <w:pPr>
        <w:spacing w:line="400" w:lineRule="exact"/>
        <w:ind w:firstLine="420" w:firstLineChars="200"/>
        <w:rPr>
          <w:rFonts w:ascii="宋体" w:hAnsi="宋体"/>
          <w:color w:val="000000" w:themeColor="text1"/>
          <w:szCs w:val="21"/>
        </w:rPr>
      </w:pPr>
      <w:r>
        <w:rPr>
          <w:rFonts w:hint="default" w:ascii="Times New Roman" w:hAnsi="Times New Roman" w:cs="Times New Roman"/>
          <w:color w:val="000000" w:themeColor="text1"/>
          <w:szCs w:val="21"/>
        </w:rPr>
        <w:t>2</w:t>
      </w:r>
      <w:r>
        <w:rPr>
          <w:rFonts w:hint="eastAsia" w:ascii="宋体" w:hAnsi="宋体"/>
          <w:color w:val="000000" w:themeColor="text1"/>
          <w:szCs w:val="21"/>
        </w:rPr>
        <w:t>.校外实训基地</w:t>
      </w:r>
    </w:p>
    <w:p w14:paraId="1F57C9DE">
      <w:pPr>
        <w:spacing w:line="400" w:lineRule="exact"/>
        <w:ind w:firstLine="420" w:firstLineChars="200"/>
        <w:rPr>
          <w:rFonts w:eastAsia="仿宋_GB2312"/>
          <w:i/>
          <w:iCs/>
          <w:color w:val="0000FF"/>
          <w:kern w:val="0"/>
          <w:sz w:val="18"/>
          <w:szCs w:val="18"/>
        </w:rPr>
      </w:pPr>
      <w:r>
        <w:rPr>
          <w:rFonts w:hint="eastAsia" w:ascii="宋体" w:hAnsi="宋体"/>
          <w:color w:val="000000" w:themeColor="text1"/>
          <w:szCs w:val="21"/>
        </w:rPr>
        <w:t>本专业与湖州国瑞会计师事务所、湖州中瑞税务师事务所、湖州江南华欣会计师事务所等共建</w:t>
      </w:r>
      <w:r>
        <w:rPr>
          <w:rFonts w:hint="default" w:ascii="Times New Roman" w:hAnsi="Times New Roman" w:cs="Times New Roman"/>
          <w:color w:val="000000" w:themeColor="text1"/>
          <w:szCs w:val="21"/>
          <w:lang w:val="en-US" w:eastAsia="zh-CN"/>
        </w:rPr>
        <w:t>3</w:t>
      </w:r>
      <w:r>
        <w:rPr>
          <w:rFonts w:hint="eastAsia" w:ascii="宋体" w:hAnsi="宋体"/>
          <w:color w:val="000000" w:themeColor="text1"/>
          <w:szCs w:val="21"/>
        </w:rPr>
        <w:t>个校外实训基地，完全能满足学生校外专业实习实训教学要求。</w:t>
      </w:r>
    </w:p>
    <w:p w14:paraId="3D068767">
      <w:pPr>
        <w:spacing w:line="400" w:lineRule="exact"/>
        <w:ind w:firstLine="422" w:firstLineChars="200"/>
        <w:jc w:val="left"/>
        <w:outlineLvl w:val="0"/>
        <w:rPr>
          <w:b/>
          <w:bCs/>
          <w:color w:val="000000"/>
          <w:kern w:val="0"/>
          <w:szCs w:val="21"/>
        </w:rPr>
      </w:pPr>
      <w:r>
        <w:rPr>
          <w:b/>
          <w:bCs/>
          <w:color w:val="000000"/>
          <w:kern w:val="0"/>
          <w:szCs w:val="21"/>
        </w:rPr>
        <w:t>（二）教学资源配置标准</w:t>
      </w:r>
    </w:p>
    <w:p w14:paraId="5804E71E">
      <w:pPr>
        <w:spacing w:line="400" w:lineRule="exact"/>
        <w:ind w:firstLine="420" w:firstLineChars="200"/>
        <w:jc w:val="left"/>
        <w:rPr>
          <w:rFonts w:ascii="宋体" w:hAnsi="宋体" w:cs="宋体"/>
          <w:color w:val="000000" w:themeColor="text1"/>
          <w:szCs w:val="21"/>
        </w:rPr>
      </w:pPr>
      <w:r>
        <w:rPr>
          <w:rFonts w:hint="default" w:ascii="Times New Roman" w:hAnsi="Times New Roman" w:cs="Times New Roman"/>
          <w:color w:val="000000" w:themeColor="text1"/>
          <w:szCs w:val="21"/>
        </w:rPr>
        <w:t>1</w:t>
      </w:r>
      <w:r>
        <w:rPr>
          <w:rFonts w:hint="eastAsia" w:ascii="宋体" w:hAnsi="宋体" w:cs="宋体"/>
          <w:color w:val="000000" w:themeColor="text1"/>
          <w:szCs w:val="21"/>
        </w:rPr>
        <w:t>.教材选用</w:t>
      </w:r>
    </w:p>
    <w:p w14:paraId="2A8F7484">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专业教材选用严格按照《湖州职业技术学院教材建设、选用与管理办法》文件规定执行，思政课全部采用国家“马”工程教材和国家规划教材。公共基础课和专业核心课程从国家和省级教育行政部门发布的规划教材目录中选用，其他课程优先选用国家规划教材或省重点教材。</w:t>
      </w:r>
    </w:p>
    <w:p w14:paraId="4AB3F0D3">
      <w:pPr>
        <w:spacing w:line="400" w:lineRule="exact"/>
        <w:ind w:firstLine="420" w:firstLineChars="200"/>
        <w:outlineLvl w:val="0"/>
        <w:rPr>
          <w:rFonts w:ascii="宋体" w:hAnsi="宋体" w:cs="宋体"/>
          <w:color w:val="000000" w:themeColor="text1"/>
          <w:szCs w:val="21"/>
        </w:rPr>
      </w:pPr>
      <w:r>
        <w:rPr>
          <w:rFonts w:hint="default" w:ascii="Times New Roman" w:hAnsi="Times New Roman" w:cs="Times New Roman"/>
          <w:color w:val="000000" w:themeColor="text1"/>
          <w:szCs w:val="21"/>
        </w:rPr>
        <w:t>2</w:t>
      </w:r>
      <w:r>
        <w:rPr>
          <w:rFonts w:hint="eastAsia" w:ascii="宋体" w:hAnsi="宋体" w:cs="宋体"/>
          <w:color w:val="000000" w:themeColor="text1"/>
          <w:szCs w:val="21"/>
        </w:rPr>
        <w:t>.图书文献资源</w:t>
      </w:r>
    </w:p>
    <w:p w14:paraId="28481DF8">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学校图书馆除有大量藏书和文献资料，还配备有中国知网、</w:t>
      </w:r>
      <w:r>
        <w:fldChar w:fldCharType="begin"/>
      </w:r>
      <w:r>
        <w:instrText xml:space="preserve"> HYPERLINK "http://lib.hzvtc.net.cn/content.asp?id=255" \t "_blank" \o "超星移动图书馆" </w:instrText>
      </w:r>
      <w:r>
        <w:fldChar w:fldCharType="separate"/>
      </w:r>
      <w:r>
        <w:rPr>
          <w:rFonts w:hint="eastAsia" w:ascii="宋体" w:hAnsi="宋体" w:cs="宋体"/>
          <w:color w:val="000000" w:themeColor="text1"/>
          <w:szCs w:val="21"/>
        </w:rPr>
        <w:t>超星移动图书馆</w:t>
      </w:r>
      <w:r>
        <w:rPr>
          <w:rFonts w:hint="eastAsia" w:ascii="宋体" w:hAnsi="宋体" w:cs="宋体"/>
          <w:color w:val="000000" w:themeColor="text1"/>
          <w:szCs w:val="21"/>
        </w:rPr>
        <w:fldChar w:fldCharType="end"/>
      </w:r>
      <w:r>
        <w:rPr>
          <w:rFonts w:hint="eastAsia" w:ascii="宋体" w:hAnsi="宋体" w:cs="宋体"/>
          <w:color w:val="000000" w:themeColor="text1"/>
          <w:szCs w:val="21"/>
        </w:rPr>
        <w:t>、</w:t>
      </w:r>
      <w:r>
        <w:fldChar w:fldCharType="begin"/>
      </w:r>
      <w:r>
        <w:instrText xml:space="preserve"> HYPERLINK "http://lib.hzvtc.net.cn/content.asp?id=191" \t "_blank" \o "新东方多媒体学习库" </w:instrText>
      </w:r>
      <w:r>
        <w:fldChar w:fldCharType="separate"/>
      </w:r>
      <w:r>
        <w:rPr>
          <w:rFonts w:hint="eastAsia" w:ascii="宋体" w:hAnsi="宋体" w:cs="宋体"/>
          <w:color w:val="000000" w:themeColor="text1"/>
          <w:szCs w:val="21"/>
        </w:rPr>
        <w:t>新东方多媒体学习库</w:t>
      </w:r>
      <w:r>
        <w:rPr>
          <w:rFonts w:hint="eastAsia" w:ascii="宋体" w:hAnsi="宋体" w:cs="宋体"/>
          <w:color w:val="000000" w:themeColor="text1"/>
          <w:szCs w:val="21"/>
        </w:rPr>
        <w:fldChar w:fldCharType="end"/>
      </w:r>
      <w:r>
        <w:rPr>
          <w:rFonts w:hint="eastAsia" w:ascii="宋体" w:hAnsi="宋体" w:cs="宋体"/>
          <w:color w:val="000000" w:themeColor="text1"/>
          <w:szCs w:val="21"/>
        </w:rPr>
        <w:t>、</w:t>
      </w:r>
      <w:r>
        <w:fldChar w:fldCharType="begin"/>
      </w:r>
      <w:r>
        <w:instrText xml:space="preserve"> HYPERLINK "http://lib.hzvtc.net.cn/content.asp?id=215" \t "_blank" \o "博学易知数据库" </w:instrText>
      </w:r>
      <w:r>
        <w:fldChar w:fldCharType="separate"/>
      </w:r>
      <w:r>
        <w:rPr>
          <w:rFonts w:hint="eastAsia" w:ascii="宋体" w:hAnsi="宋体" w:cs="宋体"/>
          <w:color w:val="000000" w:themeColor="text1"/>
          <w:szCs w:val="21"/>
        </w:rPr>
        <w:t>博学易知数据库</w:t>
      </w:r>
      <w:r>
        <w:rPr>
          <w:rFonts w:hint="eastAsia" w:ascii="宋体" w:hAnsi="宋体" w:cs="宋体"/>
          <w:color w:val="000000" w:themeColor="text1"/>
          <w:szCs w:val="21"/>
        </w:rPr>
        <w:fldChar w:fldCharType="end"/>
      </w:r>
      <w:r>
        <w:rPr>
          <w:rFonts w:hint="eastAsia" w:ascii="宋体" w:hAnsi="宋体" w:cs="宋体"/>
          <w:color w:val="000000" w:themeColor="text1"/>
          <w:szCs w:val="21"/>
        </w:rPr>
        <w:t>等服务平台，能满足学生全面培养、教科研工作、专业建设等的需要，方便师生借阅、查询。</w:t>
      </w:r>
    </w:p>
    <w:p w14:paraId="06CABE04">
      <w:pPr>
        <w:spacing w:line="400" w:lineRule="exact"/>
        <w:ind w:firstLine="420" w:firstLineChars="200"/>
        <w:outlineLvl w:val="0"/>
        <w:rPr>
          <w:rFonts w:ascii="宋体" w:hAnsi="宋体" w:cs="宋体"/>
          <w:color w:val="000000" w:themeColor="text1"/>
          <w:szCs w:val="21"/>
        </w:rPr>
      </w:pPr>
      <w:r>
        <w:rPr>
          <w:rFonts w:hint="default" w:ascii="Times New Roman" w:hAnsi="Times New Roman" w:cs="Times New Roman"/>
          <w:color w:val="000000" w:themeColor="text1"/>
          <w:szCs w:val="21"/>
        </w:rPr>
        <w:t>3</w:t>
      </w:r>
      <w:r>
        <w:rPr>
          <w:rFonts w:hint="eastAsia" w:ascii="宋体" w:hAnsi="宋体" w:cs="宋体"/>
          <w:color w:val="000000" w:themeColor="text1"/>
          <w:szCs w:val="21"/>
        </w:rPr>
        <w:t>.数字资源</w:t>
      </w:r>
    </w:p>
    <w:p w14:paraId="2B5C7048">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学校现有</w:t>
      </w:r>
      <w:r>
        <w:rPr>
          <w:rFonts w:hint="default" w:ascii="Times New Roman" w:hAnsi="Times New Roman" w:cs="Times New Roman"/>
          <w:color w:val="000000" w:themeColor="text1"/>
          <w:szCs w:val="21"/>
        </w:rPr>
        <w:t>410</w:t>
      </w:r>
      <w:r>
        <w:rPr>
          <w:rFonts w:hint="eastAsia" w:ascii="宋体" w:hAnsi="宋体" w:cs="宋体"/>
          <w:color w:val="000000" w:themeColor="text1"/>
          <w:szCs w:val="21"/>
        </w:rPr>
        <w:t>余门网络课程供教师和学生使用（其中自建在线开放课程学习平台拥有课程</w:t>
      </w:r>
      <w:r>
        <w:rPr>
          <w:rFonts w:hint="default" w:ascii="Times New Roman" w:hAnsi="Times New Roman" w:cs="Times New Roman"/>
          <w:color w:val="000000" w:themeColor="text1"/>
          <w:szCs w:val="21"/>
        </w:rPr>
        <w:t>100</w:t>
      </w:r>
      <w:r>
        <w:rPr>
          <w:rFonts w:hint="eastAsia" w:ascii="宋体" w:hAnsi="宋体" w:cs="宋体"/>
          <w:color w:val="000000" w:themeColor="text1"/>
          <w:szCs w:val="21"/>
        </w:rPr>
        <w:t>余门，在第三方在线平台建有</w:t>
      </w:r>
      <w:r>
        <w:rPr>
          <w:rFonts w:hint="default" w:ascii="Times New Roman" w:hAnsi="Times New Roman" w:cs="Times New Roman"/>
          <w:color w:val="000000" w:themeColor="text1"/>
          <w:szCs w:val="21"/>
        </w:rPr>
        <w:t>110</w:t>
      </w:r>
      <w:r>
        <w:rPr>
          <w:rFonts w:hint="eastAsia" w:ascii="宋体" w:hAnsi="宋体" w:cs="宋体"/>
          <w:color w:val="000000" w:themeColor="text1"/>
          <w:szCs w:val="21"/>
        </w:rPr>
        <w:t>余门网络课程，购买第三方网络课程</w:t>
      </w:r>
      <w:r>
        <w:rPr>
          <w:rFonts w:hint="default" w:ascii="Times New Roman" w:hAnsi="Times New Roman" w:cs="Times New Roman"/>
          <w:color w:val="000000" w:themeColor="text1"/>
          <w:szCs w:val="21"/>
        </w:rPr>
        <w:t>200</w:t>
      </w:r>
      <w:r>
        <w:rPr>
          <w:rFonts w:hint="eastAsia" w:ascii="宋体" w:hAnsi="宋体" w:cs="宋体"/>
          <w:color w:val="000000" w:themeColor="text1"/>
          <w:szCs w:val="21"/>
        </w:rPr>
        <w:t>余门）。</w:t>
      </w:r>
    </w:p>
    <w:p w14:paraId="2B52E1DF">
      <w:pPr>
        <w:spacing w:line="400" w:lineRule="exact"/>
        <w:ind w:firstLine="422" w:firstLineChars="200"/>
        <w:jc w:val="left"/>
        <w:outlineLvl w:val="0"/>
        <w:rPr>
          <w:rFonts w:ascii="宋体" w:hAnsi="宋体" w:cs="宋体"/>
          <w:b/>
          <w:bCs/>
          <w:color w:val="000000" w:themeColor="text1"/>
          <w:kern w:val="0"/>
          <w:szCs w:val="21"/>
        </w:rPr>
      </w:pPr>
      <w:r>
        <w:rPr>
          <w:rFonts w:hint="eastAsia" w:ascii="宋体" w:hAnsi="宋体" w:cs="宋体"/>
          <w:b/>
          <w:bCs/>
          <w:color w:val="000000" w:themeColor="text1"/>
          <w:kern w:val="0"/>
          <w:szCs w:val="21"/>
        </w:rPr>
        <w:t>（三）教学方法、手段与教学组织形式</w:t>
      </w:r>
    </w:p>
    <w:p w14:paraId="187B06D8">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14:paraId="7D76ECB0">
      <w:pPr>
        <w:spacing w:line="400" w:lineRule="exact"/>
        <w:ind w:firstLine="422" w:firstLineChars="200"/>
        <w:jc w:val="left"/>
        <w:outlineLvl w:val="0"/>
        <w:rPr>
          <w:rFonts w:ascii="宋体" w:hAnsi="宋体" w:cs="宋体"/>
          <w:b/>
          <w:bCs/>
          <w:color w:val="000000" w:themeColor="text1"/>
          <w:kern w:val="0"/>
          <w:szCs w:val="21"/>
        </w:rPr>
      </w:pPr>
      <w:r>
        <w:rPr>
          <w:rFonts w:hint="eastAsia" w:ascii="宋体" w:hAnsi="宋体" w:cs="宋体"/>
          <w:b/>
          <w:bCs/>
          <w:color w:val="000000" w:themeColor="text1"/>
          <w:kern w:val="0"/>
          <w:szCs w:val="21"/>
        </w:rPr>
        <w:t>（四）学习评价</w:t>
      </w:r>
    </w:p>
    <w:p w14:paraId="031FDEC3">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学校改革和完善教学评价标准和方法，强调教学过程的质量监控。对教师评价，采取课前注意教学资料检查评价；课中注重教师、督导随堂听课评价；课后注重学生评教评价，确保教学质量。</w:t>
      </w:r>
    </w:p>
    <w:p w14:paraId="37C4C837">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14:paraId="34ADFF5D">
      <w:pPr>
        <w:spacing w:line="400" w:lineRule="exact"/>
        <w:ind w:firstLine="422" w:firstLineChars="200"/>
        <w:jc w:val="left"/>
        <w:outlineLvl w:val="0"/>
        <w:rPr>
          <w:rFonts w:ascii="宋体" w:hAnsi="宋体" w:cs="宋体"/>
          <w:b/>
          <w:bCs/>
          <w:color w:val="000000" w:themeColor="text1"/>
          <w:kern w:val="0"/>
          <w:szCs w:val="21"/>
        </w:rPr>
      </w:pPr>
      <w:r>
        <w:rPr>
          <w:rFonts w:hint="eastAsia" w:ascii="宋体" w:hAnsi="宋体" w:cs="宋体"/>
          <w:b/>
          <w:bCs/>
          <w:color w:val="000000" w:themeColor="text1"/>
          <w:kern w:val="0"/>
          <w:szCs w:val="21"/>
        </w:rPr>
        <w:t>（五）教学管理与质量保障体系</w:t>
      </w:r>
    </w:p>
    <w:p w14:paraId="50BB8532">
      <w:pPr>
        <w:spacing w:line="400" w:lineRule="exact"/>
        <w:ind w:firstLine="420" w:firstLineChars="200"/>
        <w:rPr>
          <w:rFonts w:ascii="宋体" w:hAnsi="宋体"/>
          <w:color w:val="000000" w:themeColor="text1"/>
          <w:szCs w:val="21"/>
        </w:rPr>
      </w:pPr>
      <w:r>
        <w:rPr>
          <w:rFonts w:hint="default" w:ascii="Times New Roman" w:hAnsi="Times New Roman" w:cs="Times New Roman"/>
          <w:color w:val="000000" w:themeColor="text1"/>
          <w:szCs w:val="21"/>
        </w:rPr>
        <w:t>1</w:t>
      </w:r>
      <w:r>
        <w:rPr>
          <w:rFonts w:hint="eastAsia" w:ascii="宋体" w:hAnsi="宋体"/>
          <w:color w:val="000000" w:themeColor="text1"/>
          <w:szCs w:val="21"/>
        </w:rPr>
        <w:t>.成立了教育教学管理与质量监控体系</w:t>
      </w:r>
    </w:p>
    <w:p w14:paraId="29971D25">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成立了有商贸与经济管理分管教学院长为组长的教学质量监控小组，在学校教学质量监控体系的框架下，建立符合会计专业实际的教学质量监控办法，对专业建设和教学工作实施全过程质量监控，确保人才培养质量的稳步提高。</w:t>
      </w:r>
    </w:p>
    <w:p w14:paraId="71C8871A">
      <w:pPr>
        <w:spacing w:line="400" w:lineRule="exact"/>
        <w:ind w:firstLine="420" w:firstLineChars="200"/>
        <w:outlineLvl w:val="0"/>
        <w:rPr>
          <w:rFonts w:ascii="宋体" w:hAnsi="宋体"/>
          <w:color w:val="000000" w:themeColor="text1"/>
          <w:szCs w:val="21"/>
        </w:rPr>
      </w:pPr>
      <w:r>
        <w:rPr>
          <w:rFonts w:hint="default" w:ascii="Times New Roman" w:hAnsi="Times New Roman" w:cs="Times New Roman"/>
          <w:color w:val="000000" w:themeColor="text1"/>
          <w:szCs w:val="21"/>
        </w:rPr>
        <w:t>2</w:t>
      </w:r>
      <w:r>
        <w:rPr>
          <w:rFonts w:hint="eastAsia" w:ascii="宋体" w:hAnsi="宋体"/>
          <w:color w:val="000000" w:themeColor="text1"/>
          <w:szCs w:val="21"/>
        </w:rPr>
        <w:t>.加强质量管理制度建设</w:t>
      </w:r>
    </w:p>
    <w:p w14:paraId="5290FBC6">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14:paraId="69593193">
      <w:pPr>
        <w:spacing w:line="400" w:lineRule="exact"/>
        <w:ind w:firstLine="420" w:firstLineChars="200"/>
        <w:outlineLvl w:val="0"/>
        <w:rPr>
          <w:rFonts w:ascii="宋体" w:hAnsi="宋体"/>
          <w:color w:val="000000" w:themeColor="text1"/>
          <w:szCs w:val="21"/>
        </w:rPr>
      </w:pPr>
      <w:r>
        <w:rPr>
          <w:rFonts w:hint="default" w:ascii="Times New Roman" w:hAnsi="Times New Roman" w:cs="Times New Roman"/>
          <w:color w:val="000000" w:themeColor="text1"/>
          <w:szCs w:val="21"/>
        </w:rPr>
        <w:t>3</w:t>
      </w:r>
      <w:r>
        <w:rPr>
          <w:rFonts w:hint="eastAsia" w:ascii="宋体" w:hAnsi="宋体"/>
          <w:color w:val="000000" w:themeColor="text1"/>
          <w:szCs w:val="21"/>
        </w:rPr>
        <w:t>.实践教学基地的质量检测</w:t>
      </w:r>
    </w:p>
    <w:p w14:paraId="1BE69BEE">
      <w:pPr>
        <w:spacing w:line="400" w:lineRule="exact"/>
        <w:ind w:firstLine="420" w:firstLineChars="200"/>
        <w:rPr>
          <w:rFonts w:eastAsia="仿宋_GB2312"/>
          <w:i/>
          <w:iCs/>
          <w:color w:val="0000FF"/>
          <w:kern w:val="0"/>
          <w:sz w:val="18"/>
          <w:szCs w:val="18"/>
        </w:rPr>
      </w:pPr>
      <w:r>
        <w:rPr>
          <w:rFonts w:hint="eastAsia" w:ascii="宋体" w:hAnsi="宋体"/>
          <w:color w:val="000000" w:themeColor="text1"/>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的需求，确保实践教学质量稳步提高。</w:t>
      </w:r>
    </w:p>
    <w:p w14:paraId="4FA24C4D">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十、毕业要求</w:t>
      </w:r>
    </w:p>
    <w:p w14:paraId="487138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000000" w:themeColor="text1"/>
          <w:kern w:val="0"/>
          <w:szCs w:val="21"/>
        </w:rPr>
      </w:pPr>
      <w:r>
        <w:rPr>
          <w:rFonts w:hint="default" w:ascii="Times New Roman" w:hAnsi="Times New Roman" w:cs="Times New Roman"/>
          <w:color w:val="000000" w:themeColor="text1"/>
          <w:kern w:val="0"/>
          <w:szCs w:val="21"/>
        </w:rPr>
        <w:t>1</w:t>
      </w:r>
      <w:r>
        <w:rPr>
          <w:rFonts w:hint="eastAsia" w:ascii="宋体" w:hAnsi="宋体" w:cs="宋体"/>
          <w:color w:val="000000" w:themeColor="text1"/>
          <w:kern w:val="0"/>
          <w:szCs w:val="21"/>
        </w:rPr>
        <w:t>.</w:t>
      </w:r>
      <w:r>
        <w:rPr>
          <w:rFonts w:hint="eastAsia" w:ascii="宋体" w:hAnsi="宋体" w:eastAsia="宋体" w:cs="宋体"/>
          <w:color w:val="000000" w:themeColor="text1"/>
          <w:kern w:val="0"/>
          <w:sz w:val="21"/>
          <w:szCs w:val="21"/>
        </w:rPr>
        <w:t>学生应获得</w:t>
      </w:r>
      <w:r>
        <w:rPr>
          <w:rFonts w:hint="eastAsia" w:cs="Times New Roman"/>
          <w:color w:val="000000" w:themeColor="text1"/>
          <w:kern w:val="0"/>
          <w:sz w:val="21"/>
          <w:szCs w:val="21"/>
          <w:lang w:val="en-US" w:eastAsia="zh-CN"/>
        </w:rPr>
        <w:t>150</w:t>
      </w:r>
      <w:r>
        <w:rPr>
          <w:rFonts w:hint="eastAsia" w:ascii="宋体" w:hAnsi="宋体" w:eastAsia="宋体" w:cs="宋体"/>
          <w:color w:val="000000" w:themeColor="text1"/>
          <w:kern w:val="0"/>
          <w:sz w:val="21"/>
          <w:szCs w:val="21"/>
        </w:rPr>
        <w:t>学分方能毕业，其中：</w:t>
      </w:r>
      <w:r>
        <w:rPr>
          <w:rFonts w:hint="eastAsia" w:ascii="宋体" w:hAnsi="宋体" w:eastAsia="宋体" w:cs="宋体"/>
          <w:color w:val="000000" w:themeColor="text1"/>
          <w:sz w:val="21"/>
          <w:szCs w:val="21"/>
          <w:lang w:val="en-US" w:eastAsia="zh-CN"/>
        </w:rPr>
        <w:t>公共必修课</w:t>
      </w:r>
      <w:r>
        <w:rPr>
          <w:rFonts w:hint="eastAsia" w:cs="Times New Roman"/>
          <w:color w:val="000000" w:themeColor="text1"/>
          <w:sz w:val="21"/>
          <w:szCs w:val="21"/>
          <w:lang w:val="en-US" w:eastAsia="zh-CN"/>
        </w:rPr>
        <w:t>19</w:t>
      </w:r>
      <w:r>
        <w:rPr>
          <w:rFonts w:hint="eastAsia" w:ascii="宋体" w:hAnsi="宋体" w:eastAsia="宋体" w:cs="宋体"/>
          <w:color w:val="000000" w:themeColor="text1"/>
          <w:sz w:val="21"/>
          <w:szCs w:val="21"/>
          <w:lang w:val="en-US" w:eastAsia="zh-CN"/>
        </w:rPr>
        <w:t>学分、公共限选课</w:t>
      </w:r>
      <w:r>
        <w:rPr>
          <w:rFonts w:hint="default" w:ascii="Times New Roman" w:hAnsi="Times New Roman" w:eastAsia="宋体" w:cs="Times New Roman"/>
          <w:color w:val="000000" w:themeColor="text1"/>
          <w:sz w:val="21"/>
          <w:szCs w:val="21"/>
          <w:lang w:val="en-US" w:eastAsia="zh-CN"/>
        </w:rPr>
        <w:t>12</w:t>
      </w:r>
      <w:r>
        <w:rPr>
          <w:rFonts w:hint="eastAsia" w:ascii="宋体" w:hAnsi="宋体" w:eastAsia="宋体" w:cs="宋体"/>
          <w:color w:val="000000" w:themeColor="text1"/>
          <w:sz w:val="21"/>
          <w:szCs w:val="21"/>
          <w:lang w:val="en-US" w:eastAsia="zh-CN"/>
        </w:rPr>
        <w:t>学分、公共任选课</w:t>
      </w:r>
      <w:r>
        <w:rPr>
          <w:rFonts w:hint="default" w:ascii="Times New Roman" w:hAnsi="Times New Roman" w:eastAsia="宋体" w:cs="Times New Roman"/>
          <w:color w:val="000000" w:themeColor="text1"/>
          <w:sz w:val="21"/>
          <w:szCs w:val="21"/>
          <w:lang w:val="en-US" w:eastAsia="zh-CN"/>
        </w:rPr>
        <w:t>4</w:t>
      </w:r>
      <w:r>
        <w:rPr>
          <w:rFonts w:hint="eastAsia" w:ascii="宋体" w:hAnsi="宋体" w:eastAsia="宋体" w:cs="宋体"/>
          <w:color w:val="000000" w:themeColor="text1"/>
          <w:sz w:val="21"/>
          <w:szCs w:val="21"/>
          <w:lang w:val="en-US" w:eastAsia="zh-CN"/>
        </w:rPr>
        <w:t>学分、专业基础课</w:t>
      </w:r>
      <w:r>
        <w:rPr>
          <w:rFonts w:hint="default" w:ascii="Times New Roman" w:hAnsi="Times New Roman" w:eastAsia="宋体" w:cs="Times New Roman"/>
          <w:color w:val="000000" w:themeColor="text1"/>
          <w:sz w:val="21"/>
          <w:szCs w:val="21"/>
          <w:lang w:val="en-US" w:eastAsia="zh-CN"/>
        </w:rPr>
        <w:t>19</w:t>
      </w:r>
      <w:r>
        <w:rPr>
          <w:rFonts w:hint="eastAsia" w:ascii="宋体" w:hAnsi="宋体" w:eastAsia="宋体" w:cs="宋体"/>
          <w:color w:val="000000" w:themeColor="text1"/>
          <w:sz w:val="21"/>
          <w:szCs w:val="21"/>
          <w:lang w:val="en-US" w:eastAsia="zh-CN"/>
        </w:rPr>
        <w:t>学分、专业核心课</w:t>
      </w:r>
      <w:r>
        <w:rPr>
          <w:rFonts w:hint="default" w:ascii="Times New Roman" w:hAnsi="Times New Roman" w:eastAsia="宋体" w:cs="Times New Roman"/>
          <w:color w:val="000000" w:themeColor="text1"/>
          <w:sz w:val="21"/>
          <w:szCs w:val="21"/>
          <w:lang w:val="en-US" w:eastAsia="zh-CN"/>
        </w:rPr>
        <w:t>27</w:t>
      </w:r>
      <w:r>
        <w:rPr>
          <w:rFonts w:hint="eastAsia" w:ascii="宋体" w:hAnsi="宋体" w:eastAsia="宋体" w:cs="宋体"/>
          <w:color w:val="000000" w:themeColor="text1"/>
          <w:sz w:val="21"/>
          <w:szCs w:val="21"/>
          <w:lang w:val="en-US" w:eastAsia="zh-CN"/>
        </w:rPr>
        <w:t>学分、专业限选课</w:t>
      </w:r>
      <w:r>
        <w:rPr>
          <w:rFonts w:hint="default" w:ascii="Times New Roman" w:hAnsi="Times New Roman" w:eastAsia="宋体" w:cs="Times New Roman"/>
          <w:color w:val="000000" w:themeColor="text1"/>
          <w:sz w:val="21"/>
          <w:szCs w:val="21"/>
          <w:lang w:val="en-US" w:eastAsia="zh-CN"/>
        </w:rPr>
        <w:t>19</w:t>
      </w:r>
      <w:r>
        <w:rPr>
          <w:rFonts w:hint="eastAsia" w:ascii="宋体" w:hAnsi="宋体" w:eastAsia="宋体" w:cs="宋体"/>
          <w:color w:val="000000" w:themeColor="text1"/>
          <w:sz w:val="21"/>
          <w:szCs w:val="21"/>
          <w:lang w:val="en-US" w:eastAsia="zh-CN"/>
        </w:rPr>
        <w:t>学分、专业任选课</w:t>
      </w:r>
      <w:r>
        <w:rPr>
          <w:rFonts w:hint="default" w:ascii="Times New Roman" w:hAnsi="Times New Roman" w:eastAsia="宋体" w:cs="Times New Roman"/>
          <w:color w:val="000000" w:themeColor="text1"/>
          <w:sz w:val="21"/>
          <w:szCs w:val="21"/>
          <w:lang w:val="en-US" w:eastAsia="zh-CN"/>
        </w:rPr>
        <w:t>25</w:t>
      </w:r>
      <w:r>
        <w:rPr>
          <w:rFonts w:hint="eastAsia" w:ascii="宋体" w:hAnsi="宋体" w:eastAsia="宋体" w:cs="宋体"/>
          <w:color w:val="000000" w:themeColor="text1"/>
          <w:sz w:val="21"/>
          <w:szCs w:val="21"/>
          <w:lang w:val="en-US" w:eastAsia="zh-CN"/>
        </w:rPr>
        <w:t>学分、综合实践课</w:t>
      </w:r>
      <w:r>
        <w:rPr>
          <w:rFonts w:hint="default" w:ascii="Times New Roman" w:hAnsi="Times New Roman" w:eastAsia="宋体" w:cs="Times New Roman"/>
          <w:color w:val="000000" w:themeColor="text1"/>
          <w:sz w:val="21"/>
          <w:szCs w:val="21"/>
          <w:lang w:val="en-US" w:eastAsia="zh-CN"/>
        </w:rPr>
        <w:t>25</w:t>
      </w:r>
      <w:r>
        <w:rPr>
          <w:rFonts w:hint="eastAsia" w:ascii="宋体" w:hAnsi="宋体" w:eastAsia="宋体" w:cs="宋体"/>
          <w:color w:val="000000" w:themeColor="text1"/>
          <w:sz w:val="21"/>
          <w:szCs w:val="21"/>
          <w:lang w:val="en-US" w:eastAsia="zh-CN"/>
        </w:rPr>
        <w:t>学分。</w:t>
      </w:r>
    </w:p>
    <w:p w14:paraId="17E56E80">
      <w:pPr>
        <w:spacing w:line="400" w:lineRule="exact"/>
        <w:ind w:firstLine="420" w:firstLineChars="200"/>
        <w:jc w:val="left"/>
        <w:rPr>
          <w:rFonts w:ascii="宋体" w:hAnsi="宋体" w:cs="宋体"/>
          <w:color w:val="000000" w:themeColor="text1"/>
          <w:kern w:val="0"/>
          <w:szCs w:val="21"/>
        </w:rPr>
      </w:pPr>
      <w:r>
        <w:rPr>
          <w:rFonts w:hint="default" w:ascii="Times New Roman" w:hAnsi="Times New Roman" w:cs="Times New Roman"/>
          <w:color w:val="000000" w:themeColor="text1"/>
          <w:kern w:val="0"/>
          <w:szCs w:val="21"/>
        </w:rPr>
        <w:t>2</w:t>
      </w:r>
      <w:r>
        <w:rPr>
          <w:rFonts w:hint="eastAsia" w:ascii="宋体" w:hAnsi="宋体" w:cs="宋体"/>
          <w:color w:val="000000" w:themeColor="text1"/>
          <w:kern w:val="0"/>
          <w:szCs w:val="21"/>
        </w:rPr>
        <w:t>.国家体质健康测试达标。</w:t>
      </w:r>
    </w:p>
    <w:p w14:paraId="75C474AE">
      <w:pPr>
        <w:spacing w:line="400" w:lineRule="exact"/>
        <w:ind w:firstLine="420" w:firstLineChars="200"/>
        <w:jc w:val="left"/>
        <w:rPr>
          <w:rFonts w:eastAsia="仿宋_GB2312"/>
          <w:i/>
          <w:iCs/>
          <w:color w:val="0000FF"/>
          <w:kern w:val="0"/>
          <w:sz w:val="18"/>
          <w:szCs w:val="18"/>
        </w:rPr>
      </w:pPr>
      <w:r>
        <w:rPr>
          <w:rFonts w:hint="default" w:ascii="Times New Roman" w:hAnsi="Times New Roman" w:cs="Times New Roman"/>
          <w:color w:val="000000" w:themeColor="text1"/>
          <w:kern w:val="0"/>
          <w:szCs w:val="21"/>
        </w:rPr>
        <w:t>3</w:t>
      </w:r>
      <w:r>
        <w:rPr>
          <w:rFonts w:hint="eastAsia" w:ascii="宋体" w:hAnsi="宋体" w:cs="宋体"/>
          <w:color w:val="000000" w:themeColor="text1"/>
          <w:kern w:val="0"/>
          <w:szCs w:val="21"/>
        </w:rPr>
        <w:t>.第二课堂学分达</w:t>
      </w:r>
      <w:r>
        <w:rPr>
          <w:rFonts w:hint="default" w:ascii="Times New Roman" w:hAnsi="Times New Roman" w:cs="Times New Roman"/>
          <w:color w:val="000000" w:themeColor="text1"/>
          <w:kern w:val="0"/>
          <w:szCs w:val="21"/>
        </w:rPr>
        <w:t>6</w:t>
      </w:r>
      <w:r>
        <w:rPr>
          <w:rFonts w:hint="eastAsia" w:ascii="宋体" w:hAnsi="宋体" w:cs="宋体"/>
          <w:color w:val="000000" w:themeColor="text1"/>
          <w:kern w:val="0"/>
          <w:szCs w:val="21"/>
        </w:rPr>
        <w:t>分以上。</w:t>
      </w:r>
    </w:p>
    <w:p w14:paraId="6C481BC5">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十一、学习期间证书获取建议</w:t>
      </w:r>
      <w:bookmarkStart w:id="4" w:name="_GoBack"/>
      <w:bookmarkEnd w:id="4"/>
    </w:p>
    <w:p w14:paraId="068CE7D2">
      <w:pPr>
        <w:spacing w:line="400" w:lineRule="exact"/>
        <w:ind w:firstLine="420" w:firstLineChars="200"/>
        <w:jc w:val="left"/>
        <w:rPr>
          <w:rFonts w:ascii="宋体" w:hAnsi="宋体" w:cs="宋体"/>
          <w:color w:val="000000" w:themeColor="text1"/>
          <w:kern w:val="0"/>
          <w:szCs w:val="21"/>
        </w:rPr>
      </w:pPr>
      <w:r>
        <w:rPr>
          <w:rFonts w:hint="default" w:ascii="Times New Roman" w:hAnsi="Times New Roman" w:cs="Times New Roman"/>
          <w:color w:val="000000" w:themeColor="text1"/>
          <w:kern w:val="0"/>
          <w:szCs w:val="21"/>
        </w:rPr>
        <w:t>1</w:t>
      </w:r>
      <w:r>
        <w:rPr>
          <w:rFonts w:hint="eastAsia" w:ascii="宋体" w:hAnsi="宋体" w:cs="宋体"/>
          <w:color w:val="000000" w:themeColor="text1"/>
          <w:kern w:val="0"/>
          <w:szCs w:val="21"/>
        </w:rPr>
        <w:t>.根据专升本等需要，建议参加英语等级证书和计算机等级证书的考试。</w:t>
      </w:r>
    </w:p>
    <w:p w14:paraId="1CE9B857">
      <w:pPr>
        <w:spacing w:line="400" w:lineRule="exact"/>
        <w:ind w:firstLine="420" w:firstLineChars="200"/>
        <w:jc w:val="left"/>
        <w:rPr>
          <w:rFonts w:ascii="宋体" w:hAnsi="宋体" w:cs="宋体"/>
          <w:color w:val="000000" w:themeColor="text1"/>
          <w:kern w:val="0"/>
          <w:szCs w:val="21"/>
        </w:rPr>
      </w:pPr>
      <w:r>
        <w:rPr>
          <w:rFonts w:hint="default" w:ascii="Times New Roman" w:hAnsi="Times New Roman" w:cs="Times New Roman"/>
          <w:color w:val="000000" w:themeColor="text1"/>
          <w:kern w:val="0"/>
          <w:szCs w:val="21"/>
        </w:rPr>
        <w:t>2</w:t>
      </w:r>
      <w:r>
        <w:rPr>
          <w:rFonts w:hint="eastAsia" w:ascii="宋体" w:hAnsi="宋体" w:cs="宋体"/>
          <w:color w:val="000000" w:themeColor="text1"/>
          <w:kern w:val="0"/>
          <w:szCs w:val="21"/>
        </w:rPr>
        <w:t>.建议考取以下职业资格证书增强职业竞争力。</w:t>
      </w:r>
    </w:p>
    <w:p w14:paraId="5C1A377B">
      <w:pPr>
        <w:pStyle w:val="2"/>
        <w:spacing w:line="240" w:lineRule="auto"/>
        <w:ind w:firstLine="361" w:firstLineChars="200"/>
        <w:jc w:val="center"/>
      </w:pPr>
      <w:r>
        <w:rPr>
          <w:rFonts w:eastAsiaTheme="minorEastAsia"/>
          <w:b/>
          <w:bCs/>
          <w:color w:val="000000"/>
          <w:kern w:val="0"/>
          <w:sz w:val="18"/>
          <w:szCs w:val="18"/>
        </w:rPr>
        <w:t>表</w:t>
      </w:r>
      <w:r>
        <w:rPr>
          <w:rFonts w:hint="default" w:ascii="Times New Roman" w:hAnsi="Times New Roman" w:cs="Times New Roman" w:eastAsiaTheme="minorEastAsia"/>
          <w:b/>
          <w:bCs/>
          <w:color w:val="000000"/>
          <w:kern w:val="0"/>
          <w:sz w:val="18"/>
          <w:szCs w:val="18"/>
        </w:rPr>
        <w:t>9</w:t>
      </w:r>
      <w:r>
        <w:rPr>
          <w:rFonts w:hint="eastAsia" w:eastAsiaTheme="minorEastAsia"/>
          <w:b/>
          <w:bCs/>
          <w:color w:val="000000"/>
          <w:kern w:val="0"/>
          <w:sz w:val="18"/>
          <w:szCs w:val="18"/>
        </w:rPr>
        <w:t xml:space="preserve">  </w:t>
      </w:r>
      <w:r>
        <w:rPr>
          <w:rFonts w:eastAsiaTheme="minorEastAsia"/>
          <w:b/>
          <w:bCs/>
          <w:color w:val="000000"/>
          <w:kern w:val="0"/>
          <w:sz w:val="18"/>
          <w:szCs w:val="18"/>
        </w:rPr>
        <w:t xml:space="preserve"> 专业职业资格/技能证书一览表</w:t>
      </w:r>
    </w:p>
    <w:tbl>
      <w:tblPr>
        <w:tblStyle w:val="13"/>
        <w:tblW w:w="902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138"/>
        <w:gridCol w:w="1034"/>
        <w:gridCol w:w="2840"/>
        <w:gridCol w:w="1140"/>
      </w:tblGrid>
      <w:tr w14:paraId="27A62A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0D05818E">
            <w:pPr>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3138" w:type="dxa"/>
            <w:vAlign w:val="center"/>
          </w:tcPr>
          <w:p w14:paraId="16FF5845">
            <w:pPr>
              <w:jc w:val="center"/>
              <w:rPr>
                <w:rFonts w:ascii="宋体" w:hAnsi="宋体"/>
                <w:color w:val="000000" w:themeColor="text1"/>
                <w:sz w:val="18"/>
                <w:szCs w:val="18"/>
              </w:rPr>
            </w:pPr>
            <w:r>
              <w:rPr>
                <w:rFonts w:hint="eastAsia" w:ascii="宋体" w:hAnsi="宋体"/>
                <w:color w:val="000000" w:themeColor="text1"/>
                <w:sz w:val="18"/>
                <w:szCs w:val="18"/>
              </w:rPr>
              <w:t>证书名称</w:t>
            </w:r>
          </w:p>
        </w:tc>
        <w:tc>
          <w:tcPr>
            <w:tcW w:w="1034" w:type="dxa"/>
            <w:vAlign w:val="center"/>
          </w:tcPr>
          <w:p w14:paraId="1DF4DB52">
            <w:pPr>
              <w:jc w:val="center"/>
              <w:rPr>
                <w:rFonts w:ascii="宋体" w:hAnsi="宋体"/>
                <w:color w:val="000000" w:themeColor="text1"/>
                <w:sz w:val="18"/>
                <w:szCs w:val="18"/>
              </w:rPr>
            </w:pPr>
            <w:r>
              <w:rPr>
                <w:rFonts w:hint="eastAsia" w:ascii="宋体" w:hAnsi="宋体"/>
                <w:color w:val="000000" w:themeColor="text1"/>
                <w:sz w:val="18"/>
                <w:szCs w:val="18"/>
              </w:rPr>
              <w:t>级别</w:t>
            </w:r>
          </w:p>
        </w:tc>
        <w:tc>
          <w:tcPr>
            <w:tcW w:w="2840" w:type="dxa"/>
            <w:vAlign w:val="center"/>
          </w:tcPr>
          <w:p w14:paraId="5B530547">
            <w:pPr>
              <w:jc w:val="center"/>
              <w:rPr>
                <w:rFonts w:ascii="宋体" w:hAnsi="宋体"/>
                <w:color w:val="000000" w:themeColor="text1"/>
                <w:sz w:val="18"/>
                <w:szCs w:val="18"/>
              </w:rPr>
            </w:pPr>
            <w:r>
              <w:rPr>
                <w:rFonts w:hint="eastAsia" w:ascii="宋体" w:hAnsi="宋体"/>
                <w:color w:val="000000" w:themeColor="text1"/>
                <w:sz w:val="18"/>
                <w:szCs w:val="18"/>
              </w:rPr>
              <w:t>颁证机构</w:t>
            </w:r>
          </w:p>
        </w:tc>
        <w:tc>
          <w:tcPr>
            <w:tcW w:w="1140" w:type="dxa"/>
            <w:vAlign w:val="center"/>
          </w:tcPr>
          <w:p w14:paraId="1A54A5A4">
            <w:pPr>
              <w:jc w:val="center"/>
              <w:rPr>
                <w:rFonts w:ascii="宋体" w:hAnsi="宋体"/>
                <w:color w:val="000000" w:themeColor="text1"/>
                <w:sz w:val="18"/>
                <w:szCs w:val="18"/>
              </w:rPr>
            </w:pPr>
            <w:r>
              <w:rPr>
                <w:rFonts w:hint="eastAsia" w:ascii="宋体" w:hAnsi="宋体"/>
                <w:color w:val="000000" w:themeColor="text1"/>
                <w:sz w:val="18"/>
                <w:szCs w:val="18"/>
              </w:rPr>
              <w:t>获证要求</w:t>
            </w:r>
          </w:p>
        </w:tc>
      </w:tr>
      <w:tr w14:paraId="6777DC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5F936757">
            <w:pPr>
              <w:jc w:val="center"/>
              <w:rPr>
                <w:rFonts w:ascii="宋体" w:hAnsi="宋体"/>
                <w:color w:val="000000" w:themeColor="text1"/>
                <w:sz w:val="18"/>
                <w:szCs w:val="18"/>
              </w:rPr>
            </w:pPr>
            <w:r>
              <w:rPr>
                <w:rFonts w:hint="default" w:ascii="Times New Roman" w:hAnsi="Times New Roman" w:cs="Times New Roman"/>
                <w:color w:val="000000" w:themeColor="text1"/>
                <w:sz w:val="18"/>
                <w:szCs w:val="18"/>
              </w:rPr>
              <w:t>1</w:t>
            </w:r>
          </w:p>
        </w:tc>
        <w:tc>
          <w:tcPr>
            <w:tcW w:w="3138" w:type="dxa"/>
            <w:vAlign w:val="center"/>
          </w:tcPr>
          <w:p w14:paraId="1239175F">
            <w:pPr>
              <w:jc w:val="center"/>
              <w:rPr>
                <w:rFonts w:ascii="宋体" w:hAnsi="宋体"/>
                <w:color w:val="000000" w:themeColor="text1"/>
                <w:sz w:val="18"/>
                <w:szCs w:val="18"/>
              </w:rPr>
            </w:pPr>
            <w:r>
              <w:rPr>
                <w:rFonts w:hint="eastAsia" w:ascii="宋体" w:hAnsi="宋体"/>
                <w:color w:val="000000" w:themeColor="text1"/>
                <w:sz w:val="18"/>
                <w:szCs w:val="18"/>
              </w:rPr>
              <w:t>初级会计职称</w:t>
            </w:r>
          </w:p>
        </w:tc>
        <w:tc>
          <w:tcPr>
            <w:tcW w:w="1034" w:type="dxa"/>
            <w:vAlign w:val="center"/>
          </w:tcPr>
          <w:p w14:paraId="0641849C">
            <w:pPr>
              <w:jc w:val="center"/>
              <w:rPr>
                <w:rFonts w:ascii="宋体" w:hAnsi="宋体"/>
                <w:color w:val="000000" w:themeColor="text1"/>
                <w:sz w:val="18"/>
                <w:szCs w:val="18"/>
              </w:rPr>
            </w:pPr>
            <w:r>
              <w:rPr>
                <w:rFonts w:hint="eastAsia" w:ascii="宋体" w:hAnsi="宋体"/>
                <w:color w:val="000000" w:themeColor="text1"/>
                <w:sz w:val="18"/>
                <w:szCs w:val="18"/>
              </w:rPr>
              <w:t>初级</w:t>
            </w:r>
          </w:p>
        </w:tc>
        <w:tc>
          <w:tcPr>
            <w:tcW w:w="2840" w:type="dxa"/>
            <w:vAlign w:val="center"/>
          </w:tcPr>
          <w:p w14:paraId="5D368808">
            <w:pPr>
              <w:jc w:val="center"/>
              <w:rPr>
                <w:rFonts w:ascii="宋体" w:hAnsi="宋体"/>
                <w:color w:val="000000" w:themeColor="text1"/>
                <w:sz w:val="18"/>
                <w:szCs w:val="18"/>
              </w:rPr>
            </w:pPr>
            <w:r>
              <w:rPr>
                <w:rFonts w:hint="eastAsia" w:ascii="宋体" w:hAnsi="宋体"/>
                <w:color w:val="000000" w:themeColor="text1"/>
                <w:sz w:val="18"/>
                <w:szCs w:val="18"/>
              </w:rPr>
              <w:t>财政部、人社部</w:t>
            </w:r>
          </w:p>
        </w:tc>
        <w:tc>
          <w:tcPr>
            <w:tcW w:w="1140" w:type="dxa"/>
            <w:vAlign w:val="center"/>
          </w:tcPr>
          <w:p w14:paraId="427D79CB">
            <w:pPr>
              <w:jc w:val="center"/>
              <w:rPr>
                <w:rFonts w:ascii="宋体" w:hAnsi="宋体"/>
                <w:color w:val="000000" w:themeColor="text1"/>
                <w:sz w:val="18"/>
                <w:szCs w:val="18"/>
              </w:rPr>
            </w:pPr>
            <w:r>
              <w:rPr>
                <w:rFonts w:hint="eastAsia" w:ascii="宋体" w:hAnsi="宋体"/>
                <w:color w:val="000000" w:themeColor="text1"/>
                <w:sz w:val="18"/>
                <w:szCs w:val="18"/>
              </w:rPr>
              <w:t>可选</w:t>
            </w:r>
          </w:p>
        </w:tc>
      </w:tr>
      <w:tr w14:paraId="1206F8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2B92B7EF">
            <w:pPr>
              <w:jc w:val="center"/>
              <w:rPr>
                <w:rFonts w:hint="eastAsia" w:ascii="宋体" w:hAnsi="宋体" w:eastAsia="宋体"/>
                <w:color w:val="000000" w:themeColor="text1"/>
                <w:sz w:val="18"/>
                <w:szCs w:val="18"/>
                <w:lang w:eastAsia="zh-CN"/>
              </w:rPr>
            </w:pPr>
            <w:r>
              <w:rPr>
                <w:rFonts w:hint="eastAsia" w:cs="Times New Roman"/>
                <w:color w:val="000000" w:themeColor="text1"/>
                <w:sz w:val="18"/>
                <w:szCs w:val="18"/>
                <w:lang w:val="en-US" w:eastAsia="zh-CN"/>
              </w:rPr>
              <w:t>2</w:t>
            </w:r>
          </w:p>
        </w:tc>
        <w:tc>
          <w:tcPr>
            <w:tcW w:w="3138" w:type="dxa"/>
            <w:vAlign w:val="center"/>
          </w:tcPr>
          <w:p w14:paraId="470B875B">
            <w:pPr>
              <w:jc w:val="center"/>
              <w:rPr>
                <w:rFonts w:ascii="宋体" w:hAnsi="宋体"/>
                <w:color w:val="000000" w:themeColor="text1"/>
                <w:sz w:val="18"/>
                <w:szCs w:val="18"/>
              </w:rPr>
            </w:pPr>
            <w:r>
              <w:rPr>
                <w:rFonts w:hint="eastAsia" w:ascii="宋体" w:hAnsi="宋体"/>
                <w:color w:val="000000" w:themeColor="text1"/>
                <w:sz w:val="18"/>
                <w:szCs w:val="18"/>
              </w:rPr>
              <w:t>财务共享服务证书</w:t>
            </w:r>
          </w:p>
        </w:tc>
        <w:tc>
          <w:tcPr>
            <w:tcW w:w="1034" w:type="dxa"/>
            <w:vAlign w:val="center"/>
          </w:tcPr>
          <w:p w14:paraId="654D581F">
            <w:pPr>
              <w:jc w:val="center"/>
              <w:rPr>
                <w:rFonts w:ascii="宋体" w:hAnsi="宋体"/>
                <w:color w:val="000000" w:themeColor="text1"/>
                <w:sz w:val="18"/>
                <w:szCs w:val="18"/>
              </w:rPr>
            </w:pPr>
            <w:r>
              <w:rPr>
                <w:rFonts w:hint="eastAsia" w:ascii="宋体" w:hAnsi="宋体"/>
                <w:color w:val="000000" w:themeColor="text1"/>
                <w:sz w:val="18"/>
                <w:szCs w:val="18"/>
              </w:rPr>
              <w:t>中级</w:t>
            </w:r>
          </w:p>
        </w:tc>
        <w:tc>
          <w:tcPr>
            <w:tcW w:w="2840" w:type="dxa"/>
            <w:vAlign w:val="center"/>
          </w:tcPr>
          <w:p w14:paraId="706713CF">
            <w:pPr>
              <w:jc w:val="center"/>
              <w:rPr>
                <w:rFonts w:ascii="宋体" w:hAnsi="宋体"/>
                <w:color w:val="000000" w:themeColor="text1"/>
                <w:sz w:val="18"/>
                <w:szCs w:val="18"/>
              </w:rPr>
            </w:pPr>
            <w:r>
              <w:rPr>
                <w:rFonts w:hint="eastAsia" w:ascii="宋体" w:hAnsi="宋体"/>
                <w:color w:val="000000" w:themeColor="text1"/>
                <w:sz w:val="18"/>
                <w:szCs w:val="18"/>
              </w:rPr>
              <w:t>北京东大正保科技有限公司</w:t>
            </w:r>
          </w:p>
        </w:tc>
        <w:tc>
          <w:tcPr>
            <w:tcW w:w="1140" w:type="dxa"/>
            <w:vAlign w:val="center"/>
          </w:tcPr>
          <w:p w14:paraId="1D8AB3AA">
            <w:pPr>
              <w:jc w:val="center"/>
              <w:rPr>
                <w:color w:val="000000" w:themeColor="text1"/>
                <w:sz w:val="18"/>
                <w:szCs w:val="18"/>
              </w:rPr>
            </w:pPr>
            <w:r>
              <w:rPr>
                <w:rFonts w:hint="eastAsia" w:ascii="宋体" w:hAnsi="宋体"/>
                <w:color w:val="000000" w:themeColor="text1"/>
                <w:sz w:val="18"/>
                <w:szCs w:val="18"/>
              </w:rPr>
              <w:t>可选</w:t>
            </w:r>
          </w:p>
        </w:tc>
      </w:tr>
      <w:tr w14:paraId="441770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7A3F80EF">
            <w:pPr>
              <w:jc w:val="center"/>
              <w:rPr>
                <w:rFonts w:hint="eastAsia" w:ascii="宋体" w:hAnsi="宋体" w:eastAsia="宋体"/>
                <w:color w:val="000000" w:themeColor="text1"/>
                <w:sz w:val="18"/>
                <w:szCs w:val="18"/>
                <w:lang w:eastAsia="zh-CN"/>
              </w:rPr>
            </w:pPr>
            <w:r>
              <w:rPr>
                <w:rFonts w:hint="eastAsia" w:cs="Times New Roman"/>
                <w:color w:val="000000" w:themeColor="text1"/>
                <w:sz w:val="18"/>
                <w:szCs w:val="18"/>
                <w:lang w:val="en-US" w:eastAsia="zh-CN"/>
              </w:rPr>
              <w:t>3</w:t>
            </w:r>
          </w:p>
        </w:tc>
        <w:tc>
          <w:tcPr>
            <w:tcW w:w="3138" w:type="dxa"/>
            <w:vAlign w:val="center"/>
          </w:tcPr>
          <w:p w14:paraId="3D618144">
            <w:pPr>
              <w:jc w:val="center"/>
              <w:rPr>
                <w:rFonts w:ascii="宋体" w:hAnsi="宋体"/>
                <w:color w:val="000000" w:themeColor="text1"/>
                <w:sz w:val="18"/>
                <w:szCs w:val="18"/>
              </w:rPr>
            </w:pPr>
            <w:r>
              <w:rPr>
                <w:rFonts w:hint="eastAsia" w:ascii="宋体" w:hAnsi="宋体"/>
                <w:color w:val="000000" w:themeColor="text1"/>
                <w:sz w:val="18"/>
                <w:szCs w:val="18"/>
                <w:lang w:val="en-US" w:eastAsia="zh-CN"/>
              </w:rPr>
              <w:t>财务数字化</w:t>
            </w:r>
            <w:r>
              <w:rPr>
                <w:rFonts w:hint="eastAsia" w:ascii="宋体" w:hAnsi="宋体"/>
                <w:color w:val="000000" w:themeColor="text1"/>
                <w:sz w:val="18"/>
                <w:szCs w:val="18"/>
              </w:rPr>
              <w:t>证书</w:t>
            </w:r>
          </w:p>
        </w:tc>
        <w:tc>
          <w:tcPr>
            <w:tcW w:w="1034" w:type="dxa"/>
            <w:vAlign w:val="center"/>
          </w:tcPr>
          <w:p w14:paraId="0D9EA770">
            <w:pPr>
              <w:jc w:val="center"/>
              <w:rPr>
                <w:rFonts w:ascii="宋体" w:hAnsi="宋体"/>
                <w:color w:val="000000" w:themeColor="text1"/>
                <w:sz w:val="18"/>
                <w:szCs w:val="18"/>
              </w:rPr>
            </w:pPr>
            <w:r>
              <w:rPr>
                <w:rFonts w:hint="eastAsia" w:ascii="宋体" w:hAnsi="宋体"/>
                <w:color w:val="000000" w:themeColor="text1"/>
                <w:sz w:val="18"/>
                <w:szCs w:val="18"/>
              </w:rPr>
              <w:t>中级</w:t>
            </w:r>
          </w:p>
        </w:tc>
        <w:tc>
          <w:tcPr>
            <w:tcW w:w="2840" w:type="dxa"/>
            <w:vAlign w:val="center"/>
          </w:tcPr>
          <w:p w14:paraId="7396EF26">
            <w:pPr>
              <w:jc w:val="center"/>
              <w:rPr>
                <w:rFonts w:ascii="宋体" w:hAnsi="宋体"/>
                <w:color w:val="000000" w:themeColor="text1"/>
                <w:sz w:val="18"/>
                <w:szCs w:val="18"/>
              </w:rPr>
            </w:pPr>
            <w:r>
              <w:rPr>
                <w:rFonts w:hint="eastAsia" w:ascii="宋体" w:hAnsi="宋体"/>
                <w:color w:val="000000" w:themeColor="text1"/>
                <w:sz w:val="18"/>
                <w:szCs w:val="18"/>
                <w:lang w:val="en-US" w:eastAsia="zh-CN"/>
              </w:rPr>
              <w:t>新道科技股份</w:t>
            </w:r>
            <w:r>
              <w:rPr>
                <w:rFonts w:hint="eastAsia" w:ascii="宋体" w:hAnsi="宋体"/>
                <w:color w:val="000000" w:themeColor="text1"/>
                <w:sz w:val="18"/>
                <w:szCs w:val="18"/>
              </w:rPr>
              <w:t>有限公司</w:t>
            </w:r>
          </w:p>
        </w:tc>
        <w:tc>
          <w:tcPr>
            <w:tcW w:w="1140" w:type="dxa"/>
            <w:vAlign w:val="center"/>
          </w:tcPr>
          <w:p w14:paraId="6CF9CF77">
            <w:pPr>
              <w:jc w:val="center"/>
              <w:rPr>
                <w:rFonts w:ascii="宋体" w:hAnsi="宋体"/>
                <w:color w:val="000000" w:themeColor="text1"/>
                <w:sz w:val="18"/>
                <w:szCs w:val="18"/>
              </w:rPr>
            </w:pPr>
            <w:r>
              <w:rPr>
                <w:rFonts w:hint="eastAsia" w:ascii="宋体" w:hAnsi="宋体"/>
                <w:color w:val="000000" w:themeColor="text1"/>
                <w:sz w:val="18"/>
                <w:szCs w:val="18"/>
              </w:rPr>
              <w:t>可选</w:t>
            </w:r>
          </w:p>
        </w:tc>
      </w:tr>
    </w:tbl>
    <w:p w14:paraId="0A7618B7">
      <w:pPr>
        <w:numPr>
          <w:ilvl w:val="0"/>
          <w:numId w:val="8"/>
        </w:numPr>
        <w:spacing w:line="400" w:lineRule="exact"/>
        <w:ind w:firstLine="420" w:firstLineChars="200"/>
        <w:rPr>
          <w:rFonts w:hint="eastAsia"/>
          <w:bCs/>
          <w:szCs w:val="21"/>
        </w:rPr>
      </w:pPr>
      <w:r>
        <w:t>接续专业举例</w:t>
      </w:r>
      <w:r>
        <w:rPr>
          <w:rFonts w:hint="eastAsia"/>
          <w:lang w:eastAsia="zh-CN"/>
        </w:rPr>
        <w:t>。</w:t>
      </w:r>
      <w:r>
        <w:rPr>
          <w:rFonts w:hint="eastAsia" w:ascii="宋体" w:hAnsi="宋体"/>
          <w:bCs/>
          <w:color w:val="000000" w:themeColor="text1"/>
          <w:szCs w:val="21"/>
        </w:rPr>
        <w:t>接续高职本科专业举例：大数据与会计、大数据与财务管理、大数据与审计、财税大数据应用；</w:t>
      </w:r>
      <w:r>
        <w:rPr>
          <w:rFonts w:hint="eastAsia"/>
          <w:bCs/>
          <w:szCs w:val="21"/>
        </w:rPr>
        <w:t>接续普通本科专业举例：会计学、财务管理、审计学、资产评估、工商管理。</w:t>
      </w:r>
    </w:p>
    <w:p w14:paraId="30FBEF93">
      <w:pPr>
        <w:pStyle w:val="6"/>
        <w:numPr>
          <w:ilvl w:val="0"/>
          <w:numId w:val="0"/>
        </w:numPr>
        <w:rPr>
          <w:rFonts w:hint="default" w:eastAsia="宋体"/>
          <w:lang w:val="en-US" w:eastAsia="zh-CN"/>
        </w:rPr>
      </w:pPr>
      <w:r>
        <w:rPr>
          <w:rFonts w:hint="eastAsia"/>
          <w:lang w:val="en-US" w:eastAsia="zh-CN"/>
        </w:rPr>
        <w:t xml:space="preserve">                修订：谈礼彦                  审核：胡国荣</w:t>
      </w:r>
    </w:p>
    <w:sectPr>
      <w:pgSz w:w="11906" w:h="16838"/>
      <w:pgMar w:top="1417" w:right="1134" w:bottom="1417"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62C91"/>
    <w:multiLevelType w:val="singleLevel"/>
    <w:tmpl w:val="8D362C91"/>
    <w:lvl w:ilvl="0" w:tentative="0">
      <w:start w:val="1"/>
      <w:numFmt w:val="bullet"/>
      <w:lvlText w:val=""/>
      <w:lvlJc w:val="left"/>
      <w:pPr>
        <w:ind w:left="420" w:hanging="420"/>
      </w:pPr>
      <w:rPr>
        <w:rFonts w:hint="default" w:ascii="Wingdings" w:hAnsi="Wingdings"/>
      </w:rPr>
    </w:lvl>
  </w:abstractNum>
  <w:abstractNum w:abstractNumId="1">
    <w:nsid w:val="9D5F8F6E"/>
    <w:multiLevelType w:val="singleLevel"/>
    <w:tmpl w:val="9D5F8F6E"/>
    <w:lvl w:ilvl="0" w:tentative="0">
      <w:start w:val="1"/>
      <w:numFmt w:val="bullet"/>
      <w:lvlText w:val=""/>
      <w:lvlJc w:val="left"/>
      <w:pPr>
        <w:ind w:left="420" w:hanging="420"/>
      </w:pPr>
      <w:rPr>
        <w:rFonts w:hint="default" w:ascii="Wingdings" w:hAnsi="Wingdings"/>
        <w:color w:val="000000" w:themeColor="text1"/>
      </w:rPr>
    </w:lvl>
  </w:abstractNum>
  <w:abstractNum w:abstractNumId="2">
    <w:nsid w:val="CA62B31B"/>
    <w:multiLevelType w:val="singleLevel"/>
    <w:tmpl w:val="CA62B31B"/>
    <w:lvl w:ilvl="0" w:tentative="0">
      <w:start w:val="1"/>
      <w:numFmt w:val="bullet"/>
      <w:lvlText w:val=""/>
      <w:lvlJc w:val="left"/>
      <w:pPr>
        <w:ind w:left="420" w:hanging="420"/>
      </w:pPr>
      <w:rPr>
        <w:rFonts w:hint="default" w:ascii="Wingdings" w:hAnsi="Wingdings"/>
      </w:rPr>
    </w:lvl>
  </w:abstractNum>
  <w:abstractNum w:abstractNumId="3">
    <w:nsid w:val="DF3DC751"/>
    <w:multiLevelType w:val="singleLevel"/>
    <w:tmpl w:val="DF3DC751"/>
    <w:lvl w:ilvl="0" w:tentative="0">
      <w:start w:val="1"/>
      <w:numFmt w:val="bullet"/>
      <w:lvlText w:val=""/>
      <w:lvlJc w:val="left"/>
      <w:pPr>
        <w:ind w:left="420" w:hanging="420"/>
      </w:pPr>
      <w:rPr>
        <w:rFonts w:hint="default" w:ascii="Wingdings" w:hAnsi="Wingdings"/>
      </w:rPr>
    </w:lvl>
  </w:abstractNum>
  <w:abstractNum w:abstractNumId="4">
    <w:nsid w:val="2E662FC0"/>
    <w:multiLevelType w:val="singleLevel"/>
    <w:tmpl w:val="2E662FC0"/>
    <w:lvl w:ilvl="0" w:tentative="0">
      <w:start w:val="1"/>
      <w:numFmt w:val="bullet"/>
      <w:lvlText w:val=""/>
      <w:lvlJc w:val="left"/>
      <w:pPr>
        <w:ind w:left="420" w:hanging="420"/>
      </w:pPr>
      <w:rPr>
        <w:rFonts w:hint="default" w:ascii="Wingdings" w:hAnsi="Wingdings"/>
      </w:rPr>
    </w:lvl>
  </w:abstractNum>
  <w:abstractNum w:abstractNumId="5">
    <w:nsid w:val="3AAA8284"/>
    <w:multiLevelType w:val="singleLevel"/>
    <w:tmpl w:val="3AAA8284"/>
    <w:lvl w:ilvl="0" w:tentative="0">
      <w:start w:val="1"/>
      <w:numFmt w:val="bullet"/>
      <w:lvlText w:val=""/>
      <w:lvlJc w:val="left"/>
      <w:pPr>
        <w:ind w:left="420" w:hanging="420"/>
      </w:pPr>
      <w:rPr>
        <w:rFonts w:hint="default" w:ascii="Wingdings" w:hAnsi="Wingdings"/>
      </w:rPr>
    </w:lvl>
  </w:abstractNum>
  <w:abstractNum w:abstractNumId="6">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7">
    <w:nsid w:val="73E96DC5"/>
    <w:multiLevelType w:val="singleLevel"/>
    <w:tmpl w:val="73E96DC5"/>
    <w:lvl w:ilvl="0" w:tentative="0">
      <w:start w:val="3"/>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4NjkyYTkwYmU4MzIyNmRiNWRhYWQzYjY4YjJlZDgifQ=="/>
  </w:docVars>
  <w:rsids>
    <w:rsidRoot w:val="7C0375B1"/>
    <w:rsid w:val="001D4ED6"/>
    <w:rsid w:val="00601F99"/>
    <w:rsid w:val="0062077C"/>
    <w:rsid w:val="009218BA"/>
    <w:rsid w:val="00927037"/>
    <w:rsid w:val="00B96AC0"/>
    <w:rsid w:val="00BF3FAB"/>
    <w:rsid w:val="00C61B16"/>
    <w:rsid w:val="00DF0CDF"/>
    <w:rsid w:val="00FB62F5"/>
    <w:rsid w:val="02865A41"/>
    <w:rsid w:val="034675D0"/>
    <w:rsid w:val="038F0F77"/>
    <w:rsid w:val="03920A67"/>
    <w:rsid w:val="043E16AD"/>
    <w:rsid w:val="05E94AD4"/>
    <w:rsid w:val="077A4D84"/>
    <w:rsid w:val="0B04224A"/>
    <w:rsid w:val="0F1E77CE"/>
    <w:rsid w:val="0FA663C0"/>
    <w:rsid w:val="10D75D0B"/>
    <w:rsid w:val="120B3EBE"/>
    <w:rsid w:val="161429CA"/>
    <w:rsid w:val="16250E68"/>
    <w:rsid w:val="17C074F9"/>
    <w:rsid w:val="18454D78"/>
    <w:rsid w:val="1D8B0D44"/>
    <w:rsid w:val="1E2678EA"/>
    <w:rsid w:val="1FC05477"/>
    <w:rsid w:val="20C80452"/>
    <w:rsid w:val="211273D7"/>
    <w:rsid w:val="22A70331"/>
    <w:rsid w:val="2342795C"/>
    <w:rsid w:val="26B54FC4"/>
    <w:rsid w:val="2737387F"/>
    <w:rsid w:val="27642E25"/>
    <w:rsid w:val="2769138A"/>
    <w:rsid w:val="27FC10F7"/>
    <w:rsid w:val="2A273408"/>
    <w:rsid w:val="2B0D3778"/>
    <w:rsid w:val="2C2916B9"/>
    <w:rsid w:val="2C7431FB"/>
    <w:rsid w:val="2E444588"/>
    <w:rsid w:val="30041FE7"/>
    <w:rsid w:val="312D39F9"/>
    <w:rsid w:val="3225316D"/>
    <w:rsid w:val="3AA05AE4"/>
    <w:rsid w:val="3B1010A3"/>
    <w:rsid w:val="3D295876"/>
    <w:rsid w:val="3D5E0806"/>
    <w:rsid w:val="3D8A3F82"/>
    <w:rsid w:val="3E754953"/>
    <w:rsid w:val="41860EB9"/>
    <w:rsid w:val="43191672"/>
    <w:rsid w:val="432664FB"/>
    <w:rsid w:val="43E2105C"/>
    <w:rsid w:val="440502AE"/>
    <w:rsid w:val="448C6831"/>
    <w:rsid w:val="457E43CC"/>
    <w:rsid w:val="45FF04CE"/>
    <w:rsid w:val="48561630"/>
    <w:rsid w:val="48AE6D76"/>
    <w:rsid w:val="48F84495"/>
    <w:rsid w:val="4AF750B9"/>
    <w:rsid w:val="4D901140"/>
    <w:rsid w:val="4F0911AA"/>
    <w:rsid w:val="506D5769"/>
    <w:rsid w:val="51C615D4"/>
    <w:rsid w:val="54C5384B"/>
    <w:rsid w:val="553404EB"/>
    <w:rsid w:val="56F9477A"/>
    <w:rsid w:val="57C33EC0"/>
    <w:rsid w:val="5AA406C9"/>
    <w:rsid w:val="5B30592D"/>
    <w:rsid w:val="5C5F065B"/>
    <w:rsid w:val="5D0B2591"/>
    <w:rsid w:val="5E062D59"/>
    <w:rsid w:val="5EE765ED"/>
    <w:rsid w:val="61B76844"/>
    <w:rsid w:val="638E6875"/>
    <w:rsid w:val="64D70856"/>
    <w:rsid w:val="690F6F65"/>
    <w:rsid w:val="69D87C9F"/>
    <w:rsid w:val="6B1319C6"/>
    <w:rsid w:val="71AD35AF"/>
    <w:rsid w:val="72646B84"/>
    <w:rsid w:val="74356DCA"/>
    <w:rsid w:val="74D53D68"/>
    <w:rsid w:val="7A666C01"/>
    <w:rsid w:val="7A74131E"/>
    <w:rsid w:val="7C0375B1"/>
    <w:rsid w:val="7E3A2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left"/>
      <w:outlineLvl w:val="0"/>
    </w:pPr>
    <w:rPr>
      <w:rFonts w:asciiTheme="minorHAnsi" w:hAnsiTheme="minorHAnsi"/>
      <w:kern w:val="44"/>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caption"/>
    <w:basedOn w:val="1"/>
    <w:next w:val="1"/>
    <w:unhideWhenUsed/>
    <w:qFormat/>
    <w:uiPriority w:val="35"/>
    <w:rPr>
      <w:rFonts w:ascii="Cambria" w:hAnsi="Cambria" w:eastAsia="黑体"/>
      <w:sz w:val="20"/>
      <w:szCs w:val="20"/>
    </w:rPr>
  </w:style>
  <w:style w:type="paragraph" w:styleId="6">
    <w:name w:val="Body Text"/>
    <w:basedOn w:val="1"/>
    <w:qFormat/>
    <w:uiPriority w:val="1"/>
    <w:rPr>
      <w:rFonts w:ascii="宋体" w:hAnsi="宋体" w:cs="宋体"/>
      <w:sz w:val="18"/>
      <w:szCs w:val="18"/>
      <w:lang w:val="zh-CN" w:bidi="zh-CN"/>
    </w:rPr>
  </w:style>
  <w:style w:type="paragraph" w:styleId="7">
    <w:name w:val="Body Text Indent 2"/>
    <w:basedOn w:val="1"/>
    <w:qFormat/>
    <w:uiPriority w:val="0"/>
    <w:pPr>
      <w:spacing w:line="300" w:lineRule="auto"/>
      <w:ind w:firstLine="410" w:firstLineChars="171"/>
    </w:pPr>
    <w:rPr>
      <w:rFonts w:ascii="宋体" w:hAnsi="宋体"/>
      <w:sz w:val="2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jc w:val="left"/>
    </w:pPr>
    <w:rPr>
      <w:sz w:val="18"/>
    </w:rPr>
  </w:style>
  <w:style w:type="paragraph" w:styleId="12">
    <w:name w:val="Normal (Web)"/>
    <w:basedOn w:val="1"/>
    <w:unhideWhenUsed/>
    <w:qFormat/>
    <w:uiPriority w:val="99"/>
    <w:pPr>
      <w:jc w:val="left"/>
    </w:pPr>
    <w:rPr>
      <w:kern w:val="0"/>
      <w:sz w:val="24"/>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qFormat/>
    <w:uiPriority w:val="99"/>
    <w:rPr>
      <w:color w:val="333333"/>
      <w:u w:val="none"/>
    </w:rPr>
  </w:style>
  <w:style w:type="character" w:styleId="17">
    <w:name w:val="footnote reference"/>
    <w:semiHidden/>
    <w:unhideWhenUsed/>
    <w:qFormat/>
    <w:uiPriority w:val="99"/>
    <w:rPr>
      <w:vertAlign w:val="superscript"/>
    </w:rPr>
  </w:style>
  <w:style w:type="paragraph" w:styleId="18">
    <w:name w:val="List Paragraph"/>
    <w:basedOn w:val="1"/>
    <w:qFormat/>
    <w:uiPriority w:val="34"/>
    <w:pPr>
      <w:ind w:firstLine="420" w:firstLineChars="200"/>
    </w:pPr>
  </w:style>
  <w:style w:type="character" w:customStyle="1" w:styleId="19">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11586</Words>
  <Characters>12009</Characters>
  <Lines>90</Lines>
  <Paragraphs>25</Paragraphs>
  <TotalTime>19</TotalTime>
  <ScaleCrop>false</ScaleCrop>
  <LinksUpToDate>false</LinksUpToDate>
  <CharactersWithSpaces>12162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2023-05-12T02:41:00Z</dcterms:created>
  <dc:creator>钟云平</dc:creator>
  <cp:lastModifiedBy>谈礼彦</cp:lastModifiedBy>
  <dcterms:modified xsi:type="dcterms:W3CDTF">2024-07-15T09:38:11Z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2EBBD5F222864CC799955C7D1295B927_11</vt:lpwstr>
  </property>
</Properties>
</file>