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r>
        <w:rPr>
          <w:rFonts w:hint="eastAsia" w:ascii="华文中宋" w:hAnsi="华文中宋" w:eastAsia="华文中宋"/>
          <w:b/>
          <w:sz w:val="44"/>
          <w:szCs w:val="44"/>
        </w:rPr>
        <w:t>《</w:t>
      </w:r>
      <w:r>
        <w:rPr>
          <w:rFonts w:hint="eastAsia" w:ascii="华文中宋" w:hAnsi="华文中宋" w:eastAsia="华文中宋"/>
          <w:b/>
          <w:sz w:val="44"/>
          <w:szCs w:val="44"/>
          <w:lang w:eastAsia="zh-CN"/>
        </w:rPr>
        <w:t>经济法</w:t>
      </w:r>
      <w:r>
        <w:rPr>
          <w:rFonts w:hint="eastAsia" w:ascii="华文中宋" w:hAnsi="华文中宋" w:eastAsia="华文中宋"/>
          <w:b/>
          <w:sz w:val="44"/>
          <w:szCs w:val="44"/>
        </w:rPr>
        <w:t>》课程标准</w:t>
      </w:r>
    </w:p>
    <w:p>
      <w:pPr>
        <w:spacing w:line="312" w:lineRule="auto"/>
        <w:ind w:firstLine="454"/>
        <w:rPr>
          <w:rFonts w:hint="eastAsia" w:ascii="宋体" w:hAnsi="宋体"/>
          <w:b/>
          <w:bCs/>
        </w:rPr>
      </w:pPr>
      <w:r>
        <w:rPr>
          <w:rFonts w:hint="eastAsia" w:ascii="宋体" w:hAnsi="宋体"/>
          <w:b/>
          <w:bCs/>
        </w:rPr>
        <w:t>适用专业：</w:t>
      </w:r>
      <w:r>
        <w:rPr>
          <w:rFonts w:hint="eastAsia" w:ascii="宋体" w:hAnsi="宋体"/>
          <w:b/>
          <w:bCs/>
          <w:lang w:eastAsia="zh-CN"/>
        </w:rPr>
        <w:t>会计</w:t>
      </w:r>
    </w:p>
    <w:p>
      <w:pPr>
        <w:spacing w:line="312" w:lineRule="auto"/>
        <w:ind w:firstLine="454"/>
        <w:rPr>
          <w:rFonts w:ascii="宋体" w:hAnsi="宋体"/>
        </w:rPr>
      </w:pPr>
      <w:r>
        <w:rPr>
          <w:rFonts w:hint="eastAsia" w:ascii="宋体" w:hAnsi="宋体"/>
          <w:b/>
          <w:bCs/>
        </w:rPr>
        <w:t>1. 前言</w:t>
      </w:r>
    </w:p>
    <w:p>
      <w:pPr>
        <w:pStyle w:val="3"/>
        <w:spacing w:line="312" w:lineRule="auto"/>
        <w:ind w:firstLine="454"/>
        <w:jc w:val="both"/>
        <w:rPr>
          <w:rFonts w:hint="eastAsia" w:ascii="宋体" w:hAnsi="宋体"/>
          <w:b/>
          <w:bCs/>
          <w:lang w:val="en-US" w:eastAsia="zh-CN"/>
        </w:rPr>
      </w:pPr>
      <w:r>
        <w:rPr>
          <w:rFonts w:hint="eastAsia" w:ascii="宋体" w:hAnsi="宋体"/>
          <w:b/>
          <w:bCs/>
          <w:lang w:val="en-US" w:eastAsia="zh-CN"/>
        </w:rPr>
        <w:t>1.1  课程的性质</w:t>
      </w:r>
    </w:p>
    <w:p>
      <w:pPr>
        <w:numPr>
          <w:ilvl w:val="0"/>
          <w:numId w:val="0"/>
        </w:numPr>
        <w:rPr>
          <w:rFonts w:hint="eastAsia"/>
          <w:lang w:val="en-US" w:eastAsia="zh-CN"/>
        </w:rPr>
      </w:pPr>
      <w:r>
        <w:rPr>
          <w:rFonts w:hint="eastAsia"/>
          <w:lang w:val="en-US" w:eastAsia="zh-CN"/>
        </w:rPr>
        <w:t xml:space="preserve"> 1、经济法是经管类专业的一门必修课，是理论性、综合性、针对性、应用性很强的课程。   </w:t>
      </w:r>
    </w:p>
    <w:p>
      <w:pPr>
        <w:numPr>
          <w:ilvl w:val="0"/>
          <w:numId w:val="0"/>
        </w:numPr>
        <w:rPr>
          <w:rFonts w:hint="eastAsia"/>
          <w:lang w:val="en-US" w:eastAsia="zh-CN"/>
        </w:rPr>
      </w:pPr>
      <w:r>
        <w:rPr>
          <w:rFonts w:hint="eastAsia"/>
          <w:lang w:val="en-US" w:eastAsia="zh-CN"/>
        </w:rPr>
        <w:t xml:space="preserve">     通过本课程的教学，能使学生理解并应用一些经济法的基础知识；熟悉一些常有的重要经济法律、法规的基础内容；增强法制观念并初步运用自己所学过的法律知识观察、分析、处理有关实际问题的能力。 对会计专业，主要侧重实际工作中经济法律知识的操作和应用。</w:t>
      </w:r>
    </w:p>
    <w:p>
      <w:pPr>
        <w:rPr>
          <w:rFonts w:hint="eastAsia"/>
        </w:rPr>
      </w:pPr>
      <w:r>
        <w:rPr>
          <w:rFonts w:hint="eastAsia"/>
        </w:rPr>
        <w:t xml:space="preserve"> 2、经济法是职业基本能力课程，本课程论述了经济法的基础理论，对现行的一些重要的法律、法规进行了比较系统的阐述。</w:t>
      </w:r>
    </w:p>
    <w:p>
      <w:pPr>
        <w:numPr>
          <w:ilvl w:val="0"/>
          <w:numId w:val="0"/>
        </w:numPr>
        <w:rPr>
          <w:rFonts w:hint="eastAsia"/>
          <w:lang w:val="en-US" w:eastAsia="zh-CN"/>
        </w:rPr>
      </w:pPr>
      <w:r>
        <w:rPr>
          <w:rFonts w:hint="eastAsia"/>
          <w:lang w:val="en-US" w:eastAsia="zh-CN"/>
        </w:rPr>
        <w:t xml:space="preserve">    经济法的作用</w:t>
      </w:r>
      <w:r>
        <w:rPr>
          <w:rFonts w:hint="default"/>
          <w:lang w:val="en-US" w:eastAsia="zh-CN"/>
        </w:rPr>
        <w:t xml:space="preserve"> </w:t>
      </w:r>
      <w:r>
        <w:rPr>
          <w:rFonts w:hint="eastAsia"/>
          <w:lang w:val="en-US" w:eastAsia="zh-CN"/>
        </w:rPr>
        <w:t>（一）从法律组成的形式讲，经济法是一系列单行经济法律规范的总称，是一种带有综合性特点的法律</w:t>
      </w:r>
      <w:r>
        <w:rPr>
          <w:rFonts w:hint="default"/>
          <w:lang w:val="en-US" w:eastAsia="zh-CN"/>
        </w:rPr>
        <w:t xml:space="preserve"> </w:t>
      </w:r>
      <w:r>
        <w:rPr>
          <w:rFonts w:hint="eastAsia"/>
          <w:lang w:val="en-US" w:eastAsia="zh-CN"/>
        </w:rPr>
        <w:t>（二）从法律内容上讲，经济法同社会经济的关系更为密切，与经济基础更为直接，是一种具有经济性特点的法律</w:t>
      </w:r>
      <w:r>
        <w:rPr>
          <w:rFonts w:hint="default"/>
          <w:lang w:val="en-US" w:eastAsia="zh-CN"/>
        </w:rPr>
        <w:t xml:space="preserve"> </w:t>
      </w:r>
      <w:r>
        <w:rPr>
          <w:rFonts w:hint="eastAsia"/>
          <w:lang w:val="en-US" w:eastAsia="zh-CN"/>
        </w:rPr>
        <w:t>（三）从调整对象的特殊性讲，经济法同科学技术、自然规律的关系十分密切，是一种具有效益性特点的法律</w:t>
      </w:r>
      <w:r>
        <w:rPr>
          <w:rFonts w:hint="default"/>
          <w:lang w:val="en-US" w:eastAsia="zh-CN"/>
        </w:rPr>
        <w:t xml:space="preserve"> </w:t>
      </w:r>
      <w:r>
        <w:rPr>
          <w:rFonts w:hint="eastAsia"/>
          <w:lang w:val="en-US" w:eastAsia="zh-CN"/>
        </w:rPr>
        <w:t>（四）从经济法的功能与作用讲，经济法具有明显的限制性和促进性两种功能，贯彻惩罚和奖励相结合是一种带有指导性特点的法律。</w:t>
      </w:r>
      <w:r>
        <w:rPr>
          <w:rFonts w:hint="default"/>
          <w:lang w:val="en-US" w:eastAsia="zh-CN"/>
        </w:rPr>
        <w:t xml:space="preserve"> </w:t>
      </w:r>
      <w:r>
        <w:rPr>
          <w:rFonts w:hint="eastAsia"/>
          <w:lang w:val="en-US" w:eastAsia="zh-CN"/>
        </w:rPr>
        <w:t>（五）从实施上讲，经济法的实施是由国家经济行政部门和司法部门共同负责的，遵循经济司法与经济立法相结合，实体法和程序法相结合，奖励与惩罚相结合的原则。</w:t>
      </w:r>
    </w:p>
    <w:p>
      <w:pPr>
        <w:numPr>
          <w:ilvl w:val="0"/>
          <w:numId w:val="1"/>
        </w:numPr>
        <w:rPr>
          <w:rFonts w:hint="eastAsia"/>
        </w:rPr>
      </w:pPr>
      <w:r>
        <w:rPr>
          <w:rFonts w:hint="eastAsia"/>
        </w:rPr>
        <w:t xml:space="preserve">课程定位  </w:t>
      </w:r>
    </w:p>
    <w:p>
      <w:pPr>
        <w:numPr>
          <w:ilvl w:val="0"/>
          <w:numId w:val="0"/>
        </w:numPr>
        <w:rPr>
          <w:rFonts w:hint="eastAsia"/>
        </w:rPr>
      </w:pPr>
      <w:r>
        <w:rPr>
          <w:rFonts w:hint="eastAsia"/>
          <w:lang w:val="en-US" w:eastAsia="zh-CN"/>
        </w:rPr>
        <w:t xml:space="preserve">     </w:t>
      </w:r>
      <w:r>
        <w:rPr>
          <w:rFonts w:hint="eastAsia"/>
        </w:rPr>
        <w:t xml:space="preserve">经济法在我院的课程定位是职业能力课，在各专业的人才培养方案中，都占有比较重要的地位。市场营销、国际贸易、电子商务、会计、投资理财等专业都将经济法作为必修课开设，让学生理解并应用专业知识的同时，学习必要的经济法律知识，建立合理的知识结构，树立法律意识，以适应市场经济法制化的要求。随着国家公务员考试、会计初级、中级职称考试、推销员考试、单证员考试等社会资格考试中，法律知识分量比重的加大，经济法律知识更显重要，经济法课程对于学生就业、职业素质养成和职业能力培养方面起着愈来愈重要的作用。  经济法的后续课程主要有税法、证券投资理论、投资学、财务管理、金融学等等。经济法课程的开设为学生将来从事市场营销、企业管理、投资理财、财务会计、国际贸易等各种工作岗位提供了必要的理论知识，同时在这些岗位的职业能力培养过程中起到了重要的作用。  </w:t>
      </w:r>
    </w:p>
    <w:p>
      <w:pPr>
        <w:pStyle w:val="3"/>
        <w:spacing w:line="312" w:lineRule="auto"/>
        <w:ind w:firstLine="422" w:firstLineChars="200"/>
        <w:jc w:val="both"/>
        <w:rPr>
          <w:rFonts w:hint="eastAsia" w:ascii="宋体" w:hAnsi="宋体"/>
          <w:b/>
          <w:bCs/>
        </w:rPr>
      </w:pPr>
      <w:r>
        <w:rPr>
          <w:rFonts w:hint="eastAsia" w:ascii="宋体" w:hAnsi="宋体"/>
          <w:b/>
          <w:bCs/>
        </w:rPr>
        <w:t>1.2  设计思路</w:t>
      </w:r>
    </w:p>
    <w:p>
      <w:pPr>
        <w:numPr>
          <w:ilvl w:val="0"/>
          <w:numId w:val="0"/>
        </w:numPr>
        <w:rPr>
          <w:rFonts w:hint="eastAsia"/>
          <w:lang w:val="en-US" w:eastAsia="zh-CN"/>
        </w:rPr>
      </w:pPr>
      <w:r>
        <w:rPr>
          <w:rFonts w:hint="eastAsia"/>
          <w:lang w:val="en-US" w:eastAsia="zh-CN"/>
        </w:rPr>
        <w:t xml:space="preserve">     本课程以就业为导向，是在行业专家对经管类专业所涵盖的岗位群进行任务与职业能力分析的基础上开设的。课程设置以市场主体法和市场管理法为主线，根据高等职业院校经管类学生的认知特点来展示教学内容。在工作任务引领下以情景模拟、角色互换、仿真操作、分组讨论等形式展开教学，使学生真切体会到经济活动中所需的经济法律职业能力和实际动手能力。要求学生做学结合、边学边做，以培养学生胜任经济法律业务操作的职业能力，提高学生分析和解决经济法律问题的实际操作能力，适应该岗位实际运用需要，并为学习理解并应用其他相关专业主干课程做好铺垫。</w:t>
      </w:r>
    </w:p>
    <w:p>
      <w:pPr>
        <w:numPr>
          <w:ilvl w:val="0"/>
          <w:numId w:val="2"/>
        </w:numPr>
        <w:spacing w:line="312" w:lineRule="auto"/>
        <w:ind w:firstLine="454"/>
        <w:rPr>
          <w:rFonts w:hint="eastAsia" w:ascii="宋体" w:hAnsi="宋体"/>
          <w:b/>
        </w:rPr>
      </w:pPr>
      <w:r>
        <w:rPr>
          <w:rFonts w:hint="eastAsia" w:ascii="宋体" w:hAnsi="宋体"/>
          <w:b/>
        </w:rPr>
        <w:t>课程目标</w:t>
      </w:r>
    </w:p>
    <w:p>
      <w:pPr>
        <w:numPr>
          <w:ilvl w:val="0"/>
          <w:numId w:val="0"/>
        </w:numPr>
        <w:rPr>
          <w:rFonts w:hint="eastAsia"/>
          <w:lang w:val="en-US" w:eastAsia="zh-CN"/>
        </w:rPr>
      </w:pPr>
      <w:r>
        <w:rPr>
          <w:rFonts w:hint="eastAsia"/>
          <w:lang w:val="en-US" w:eastAsia="zh-CN"/>
        </w:rPr>
        <w:t xml:space="preserve">     通过教学，使学生了解和掌握我国经济法的基本理论、基础知识和基本操作，并能适当地加以应用。通过课程学习，提高经济法律意识，熟悉我国经济法律的相关规定，提高在物流管理工作中运用法律手段处理和解决经济纠纷的能力，加深对专业领域中的各项工作与我国有关法律规定的理解，提高在专业工作中运用法律的能力。</w:t>
      </w:r>
    </w:p>
    <w:p>
      <w:pPr>
        <w:rPr>
          <w:rFonts w:hint="eastAsia"/>
        </w:rPr>
      </w:pPr>
      <w:r>
        <w:rPr>
          <w:rFonts w:hint="eastAsia" w:ascii="宋体" w:hAnsi="宋体"/>
          <w:b/>
          <w:bCs/>
        </w:rPr>
        <w:t xml:space="preserve">（一）知识目标：  </w:t>
      </w:r>
    </w:p>
    <w:p>
      <w:pPr>
        <w:rPr>
          <w:rFonts w:hint="eastAsia"/>
        </w:rPr>
      </w:pPr>
      <w:r>
        <w:rPr>
          <w:rFonts w:hint="eastAsia"/>
          <w:lang w:val="en-US" w:eastAsia="zh-CN"/>
        </w:rPr>
        <w:t xml:space="preserve">     </w:t>
      </w:r>
      <w:r>
        <w:rPr>
          <w:rFonts w:hint="eastAsia"/>
        </w:rPr>
        <w:t xml:space="preserve">经济法的概念与特征；经济法的原则、地位和作用；经济法律关系的概念；经济法律关系的构成、确立和保护；企业法律制度（全民所有制工业企业法、集体所有制企业法、私营企业法和企业破产法）；公司法律制度；合同法律制度；反不正当竞争法律制度；知识产权法律制度（商标法、专利法）等；除此之外，还简要介绍了一些包括代理、时效、财产所有权等内容的相关法律知识，以及财政税收法律；金融法律制度；计划统计法律制度；会计审计法律制度以及经济仲裁与经济审判。  </w:t>
      </w:r>
    </w:p>
    <w:p>
      <w:pPr>
        <w:numPr>
          <w:ilvl w:val="0"/>
          <w:numId w:val="0"/>
        </w:numPr>
        <w:rPr>
          <w:rFonts w:hint="eastAsia"/>
        </w:rPr>
      </w:pPr>
      <w:r>
        <w:rPr>
          <w:rFonts w:hint="eastAsia" w:ascii="宋体" w:hAnsi="宋体"/>
          <w:b/>
          <w:bCs/>
          <w:lang w:eastAsia="zh-CN"/>
        </w:rPr>
        <w:t>（二）</w:t>
      </w:r>
      <w:r>
        <w:rPr>
          <w:rFonts w:hint="eastAsia" w:ascii="宋体" w:hAnsi="宋体"/>
          <w:b/>
          <w:bCs/>
        </w:rPr>
        <w:t>职业技能目标：</w:t>
      </w:r>
      <w:r>
        <w:rPr>
          <w:rFonts w:hint="eastAsia"/>
        </w:rPr>
        <w:t xml:space="preserve">  </w:t>
      </w:r>
    </w:p>
    <w:p>
      <w:pPr>
        <w:numPr>
          <w:ilvl w:val="0"/>
          <w:numId w:val="0"/>
        </w:numPr>
        <w:ind w:firstLine="420"/>
        <w:rPr>
          <w:rFonts w:hint="eastAsia"/>
        </w:rPr>
      </w:pPr>
      <w:r>
        <w:rPr>
          <w:rFonts w:hint="eastAsia"/>
        </w:rPr>
        <w:t>能执行经济法律的各项规定</w:t>
      </w:r>
    </w:p>
    <w:p>
      <w:pPr>
        <w:numPr>
          <w:ilvl w:val="0"/>
          <w:numId w:val="0"/>
        </w:numPr>
        <w:ind w:firstLine="420"/>
        <w:rPr>
          <w:rFonts w:hint="eastAsia"/>
        </w:rPr>
      </w:pPr>
      <w:r>
        <w:rPr>
          <w:rFonts w:hint="eastAsia"/>
        </w:rPr>
        <w:t>能识别、确认各种经济组织的有关经济法律业务的基本情况</w:t>
      </w:r>
    </w:p>
    <w:p>
      <w:pPr>
        <w:numPr>
          <w:ilvl w:val="0"/>
          <w:numId w:val="0"/>
        </w:numPr>
        <w:ind w:firstLine="420"/>
        <w:rPr>
          <w:rFonts w:hint="eastAsia"/>
        </w:rPr>
      </w:pPr>
      <w:r>
        <w:rPr>
          <w:rFonts w:hint="eastAsia"/>
        </w:rPr>
        <w:t xml:space="preserve">能对基本的经济法律案例进行分析 </w:t>
      </w:r>
    </w:p>
    <w:p>
      <w:pPr>
        <w:numPr>
          <w:ilvl w:val="0"/>
          <w:numId w:val="0"/>
        </w:numPr>
        <w:ind w:firstLine="420"/>
        <w:rPr>
          <w:rFonts w:hint="eastAsia"/>
        </w:rPr>
      </w:pPr>
      <w:r>
        <w:rPr>
          <w:rFonts w:hint="eastAsia"/>
        </w:rPr>
        <w:t>能够熟悉各种公司的相关规定</w:t>
      </w:r>
    </w:p>
    <w:p>
      <w:pPr>
        <w:rPr>
          <w:rFonts w:hint="eastAsia"/>
        </w:rPr>
      </w:pPr>
      <w:r>
        <w:rPr>
          <w:rFonts w:hint="eastAsia"/>
        </w:rPr>
        <w:t xml:space="preserve"> </w:t>
      </w:r>
      <w:r>
        <w:rPr>
          <w:rFonts w:hint="eastAsia"/>
          <w:lang w:val="en-US" w:eastAsia="zh-CN"/>
        </w:rPr>
        <w:t xml:space="preserve"> </w:t>
      </w:r>
      <w:r>
        <w:rPr>
          <w:rFonts w:hint="eastAsia"/>
        </w:rPr>
        <w:t xml:space="preserve">能够分析各种企业的具体规定  </w:t>
      </w:r>
    </w:p>
    <w:p>
      <w:pPr>
        <w:rPr>
          <w:rFonts w:hint="eastAsia"/>
        </w:rPr>
      </w:pPr>
      <w:r>
        <w:rPr>
          <w:rFonts w:hint="eastAsia"/>
        </w:rPr>
        <w:t xml:space="preserve"> </w:t>
      </w:r>
      <w:r>
        <w:rPr>
          <w:rFonts w:hint="eastAsia"/>
          <w:lang w:val="en-US" w:eastAsia="zh-CN"/>
        </w:rPr>
        <w:t xml:space="preserve"> </w:t>
      </w:r>
      <w:r>
        <w:rPr>
          <w:rFonts w:hint="eastAsia"/>
        </w:rPr>
        <w:t>理解并应用企业破产的申请、受理、破产宣告与清算、重整与和解 </w:t>
      </w:r>
    </w:p>
    <w:p>
      <w:pPr>
        <w:rPr>
          <w:rFonts w:hint="eastAsia"/>
        </w:rPr>
      </w:pPr>
      <w:r>
        <w:rPr>
          <w:rFonts w:hint="eastAsia"/>
        </w:rPr>
        <w:t xml:space="preserve"> </w:t>
      </w:r>
      <w:r>
        <w:rPr>
          <w:rFonts w:hint="eastAsia"/>
          <w:lang w:val="en-US" w:eastAsia="zh-CN"/>
        </w:rPr>
        <w:t xml:space="preserve">   </w:t>
      </w:r>
      <w:r>
        <w:rPr>
          <w:rFonts w:hint="eastAsia"/>
        </w:rPr>
        <w:t>能够熟悉订立合同所有细节，以及违反合同法规定的责任 </w:t>
      </w:r>
    </w:p>
    <w:p>
      <w:pPr>
        <w:rPr>
          <w:rFonts w:hint="eastAsia"/>
        </w:rPr>
      </w:pPr>
      <w:r>
        <w:rPr>
          <w:rFonts w:hint="eastAsia"/>
        </w:rPr>
        <w:t xml:space="preserve"> </w:t>
      </w:r>
      <w:r>
        <w:rPr>
          <w:rFonts w:hint="eastAsia"/>
          <w:lang w:val="en-US" w:eastAsia="zh-CN"/>
        </w:rPr>
        <w:t xml:space="preserve">   </w:t>
      </w:r>
      <w:r>
        <w:rPr>
          <w:rFonts w:hint="eastAsia"/>
        </w:rPr>
        <w:t>能够理解并应用担保的类型、担保的具体步骤  </w:t>
      </w:r>
    </w:p>
    <w:p>
      <w:pPr>
        <w:numPr>
          <w:ilvl w:val="0"/>
          <w:numId w:val="0"/>
        </w:numPr>
        <w:spacing w:line="312" w:lineRule="auto"/>
        <w:ind w:firstLine="420"/>
        <w:rPr>
          <w:rFonts w:hint="eastAsia"/>
        </w:rPr>
      </w:pPr>
      <w:r>
        <w:rPr>
          <w:rFonts w:hint="eastAsia"/>
        </w:rPr>
        <w:t xml:space="preserve">理解并应用狭义证券发行、交易、收购具体规定，并对相关证券机构有所了解 </w:t>
      </w:r>
    </w:p>
    <w:p>
      <w:pPr>
        <w:numPr>
          <w:ilvl w:val="0"/>
          <w:numId w:val="0"/>
        </w:numPr>
        <w:rPr>
          <w:rFonts w:hint="eastAsia"/>
        </w:rPr>
      </w:pPr>
      <w:r>
        <w:rPr>
          <w:rFonts w:hint="eastAsia" w:ascii="宋体" w:hAnsi="宋体"/>
          <w:b/>
          <w:bCs/>
          <w:lang w:eastAsia="zh-CN"/>
        </w:rPr>
        <w:t>（三）</w:t>
      </w:r>
      <w:r>
        <w:rPr>
          <w:rFonts w:hint="eastAsia" w:ascii="宋体" w:hAnsi="宋体"/>
          <w:b/>
          <w:bCs/>
        </w:rPr>
        <w:t xml:space="preserve">职业素质养成目标： </w:t>
      </w:r>
      <w:r>
        <w:rPr>
          <w:rFonts w:hint="eastAsia"/>
        </w:rPr>
        <w:t xml:space="preserve"> </w:t>
      </w:r>
    </w:p>
    <w:p>
      <w:pPr>
        <w:numPr>
          <w:ilvl w:val="0"/>
          <w:numId w:val="0"/>
        </w:numPr>
        <w:rPr>
          <w:rFonts w:hint="eastAsia"/>
        </w:rPr>
      </w:pPr>
      <w:r>
        <w:rPr>
          <w:rFonts w:hint="eastAsia"/>
        </w:rPr>
        <w:t xml:space="preserve"> 具备一定的沟通能力和组织协调能力  </w:t>
      </w:r>
    </w:p>
    <w:p>
      <w:pPr>
        <w:numPr>
          <w:ilvl w:val="0"/>
          <w:numId w:val="0"/>
        </w:numPr>
        <w:rPr>
          <w:rFonts w:hint="eastAsia"/>
        </w:rPr>
      </w:pPr>
      <w:r>
        <w:rPr>
          <w:rFonts w:hint="eastAsia"/>
        </w:rPr>
        <w:t xml:space="preserve"> 具备一定的分析和运用经济法律进行解决实际问题的能力 </w:t>
      </w:r>
    </w:p>
    <w:p>
      <w:pPr>
        <w:numPr>
          <w:ilvl w:val="0"/>
          <w:numId w:val="0"/>
        </w:numPr>
        <w:rPr>
          <w:rFonts w:hint="eastAsia"/>
        </w:rPr>
      </w:pPr>
      <w:r>
        <w:rPr>
          <w:rFonts w:hint="eastAsia" w:ascii="宋体" w:hAnsi="宋体"/>
          <w:b/>
          <w:bCs/>
          <w:lang w:eastAsia="zh-CN"/>
        </w:rPr>
        <w:t>（四）</w:t>
      </w:r>
      <w:r>
        <w:rPr>
          <w:rFonts w:hint="eastAsia" w:ascii="宋体" w:hAnsi="宋体"/>
          <w:b/>
          <w:bCs/>
        </w:rPr>
        <w:t xml:space="preserve">职业技能证书考核要求： </w:t>
      </w:r>
      <w:r>
        <w:rPr>
          <w:rFonts w:hint="eastAsia"/>
        </w:rPr>
        <w:t xml:space="preserve"> </w:t>
      </w:r>
    </w:p>
    <w:p>
      <w:pPr>
        <w:numPr>
          <w:ilvl w:val="0"/>
          <w:numId w:val="0"/>
        </w:numPr>
        <w:rPr>
          <w:rFonts w:hint="eastAsia"/>
        </w:rPr>
      </w:pPr>
      <w:r>
        <w:rPr>
          <w:rFonts w:hint="eastAsia"/>
        </w:rPr>
        <w:t xml:space="preserve">会计从业资格 </w:t>
      </w:r>
    </w:p>
    <w:p>
      <w:pPr>
        <w:numPr>
          <w:ilvl w:val="0"/>
          <w:numId w:val="0"/>
        </w:numPr>
        <w:rPr>
          <w:rFonts w:hint="eastAsia"/>
        </w:rPr>
      </w:pPr>
      <w:r>
        <w:rPr>
          <w:rFonts w:hint="eastAsia"/>
        </w:rPr>
        <w:t>初级会计从业资格 </w:t>
      </w:r>
    </w:p>
    <w:p>
      <w:pPr>
        <w:numPr>
          <w:ilvl w:val="0"/>
          <w:numId w:val="0"/>
        </w:numPr>
        <w:rPr>
          <w:rFonts w:hint="eastAsia"/>
        </w:rPr>
      </w:pPr>
      <w:r>
        <w:rPr>
          <w:rFonts w:hint="eastAsia"/>
        </w:rPr>
        <w:t>中级会计从业资格 </w:t>
      </w:r>
    </w:p>
    <w:p>
      <w:pPr>
        <w:numPr>
          <w:ilvl w:val="0"/>
          <w:numId w:val="0"/>
        </w:numPr>
        <w:rPr>
          <w:rFonts w:hint="eastAsia"/>
        </w:rPr>
      </w:pPr>
      <w:r>
        <w:rPr>
          <w:rFonts w:hint="eastAsia"/>
        </w:rPr>
        <w:t xml:space="preserve">理财规划师 </w:t>
      </w:r>
    </w:p>
    <w:p>
      <w:pPr>
        <w:numPr>
          <w:ilvl w:val="0"/>
          <w:numId w:val="0"/>
        </w:numPr>
        <w:rPr>
          <w:rFonts w:hint="eastAsia" w:eastAsiaTheme="minorEastAsia"/>
          <w:lang w:eastAsia="zh-CN"/>
        </w:rPr>
      </w:pPr>
      <w:r>
        <w:rPr>
          <w:rFonts w:hint="eastAsia"/>
          <w:lang w:eastAsia="zh-CN"/>
        </w:rPr>
        <w:t>如有必要</w:t>
      </w:r>
      <w:r>
        <w:rPr>
          <w:rFonts w:hint="eastAsia"/>
          <w:lang w:val="en-US" w:eastAsia="zh-CN"/>
        </w:rPr>
        <w:t xml:space="preserve"> ，稍作修改，还可以满足一下需要：</w:t>
      </w:r>
    </w:p>
    <w:p>
      <w:pPr>
        <w:numPr>
          <w:ilvl w:val="0"/>
          <w:numId w:val="0"/>
        </w:numPr>
        <w:rPr>
          <w:rFonts w:hint="eastAsia"/>
        </w:rPr>
      </w:pPr>
      <w:r>
        <w:rPr>
          <w:rFonts w:hint="eastAsia"/>
          <w:lang w:val="en-US" w:eastAsia="zh-CN"/>
        </w:rPr>
        <w:t xml:space="preserve">  </w:t>
      </w:r>
      <w:r>
        <w:rPr>
          <w:rFonts w:hint="eastAsia"/>
        </w:rPr>
        <w:t xml:space="preserve">营销师  </w:t>
      </w:r>
    </w:p>
    <w:p>
      <w:pPr>
        <w:numPr>
          <w:ilvl w:val="0"/>
          <w:numId w:val="0"/>
        </w:numPr>
        <w:rPr>
          <w:rFonts w:hint="eastAsia"/>
        </w:rPr>
      </w:pPr>
      <w:r>
        <w:rPr>
          <w:rFonts w:hint="eastAsia"/>
          <w:lang w:val="en-US" w:eastAsia="zh-CN"/>
        </w:rPr>
        <w:t xml:space="preserve">  </w:t>
      </w:r>
      <w:r>
        <w:rPr>
          <w:rFonts w:hint="eastAsia"/>
        </w:rPr>
        <w:t xml:space="preserve">物流师   </w:t>
      </w:r>
    </w:p>
    <w:p>
      <w:pPr>
        <w:numPr>
          <w:ilvl w:val="0"/>
          <w:numId w:val="0"/>
        </w:numPr>
        <w:rPr>
          <w:rFonts w:hint="eastAsia"/>
        </w:rPr>
      </w:pPr>
      <w:r>
        <w:rPr>
          <w:rFonts w:hint="eastAsia"/>
        </w:rPr>
        <w:t xml:space="preserve"> </w:t>
      </w:r>
      <w:r>
        <w:rPr>
          <w:rFonts w:hint="eastAsia"/>
          <w:lang w:val="en-US" w:eastAsia="zh-CN"/>
        </w:rPr>
        <w:t xml:space="preserve"> </w:t>
      </w:r>
      <w:r>
        <w:rPr>
          <w:rFonts w:hint="eastAsia"/>
        </w:rPr>
        <w:t>电子商务师</w:t>
      </w:r>
    </w:p>
    <w:p>
      <w:pPr>
        <w:numPr>
          <w:ilvl w:val="0"/>
          <w:numId w:val="0"/>
        </w:numPr>
        <w:spacing w:line="312" w:lineRule="auto"/>
        <w:ind w:firstLine="420"/>
        <w:rPr>
          <w:rFonts w:hint="eastAsia"/>
        </w:rPr>
      </w:pPr>
    </w:p>
    <w:p>
      <w:pPr>
        <w:spacing w:before="156" w:beforeLines="50" w:after="156" w:afterLines="50" w:line="312" w:lineRule="auto"/>
        <w:ind w:firstLine="454"/>
        <w:rPr>
          <w:rFonts w:hint="eastAsia" w:ascii="宋体" w:hAnsi="宋体"/>
          <w:b/>
          <w:bCs/>
        </w:rPr>
      </w:pPr>
      <w:r>
        <w:rPr>
          <w:rFonts w:hint="eastAsia" w:ascii="宋体" w:hAnsi="宋体"/>
          <w:b/>
          <w:bCs/>
        </w:rPr>
        <w:t>3．课程内容和要求</w:t>
      </w:r>
    </w:p>
    <w:tbl>
      <w:tblPr>
        <w:tblStyle w:val="7"/>
        <w:tblW w:w="88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608"/>
        <w:gridCol w:w="3037"/>
        <w:gridCol w:w="3031"/>
        <w:gridCol w:w="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blHeader/>
          <w:jc w:val="center"/>
        </w:trPr>
        <w:tc>
          <w:tcPr>
            <w:tcW w:w="426" w:type="dxa"/>
            <w:vAlign w:val="center"/>
          </w:tcPr>
          <w:p>
            <w:pPr>
              <w:jc w:val="center"/>
              <w:rPr>
                <w:rFonts w:hint="eastAsia" w:ascii="宋体" w:hAnsi="宋体"/>
                <w:b/>
                <w:sz w:val="18"/>
                <w:szCs w:val="18"/>
              </w:rPr>
            </w:pPr>
            <w:r>
              <w:rPr>
                <w:rFonts w:hint="eastAsia" w:ascii="宋体" w:hAnsi="宋体"/>
                <w:b/>
                <w:sz w:val="18"/>
                <w:szCs w:val="18"/>
              </w:rPr>
              <w:t>序号</w:t>
            </w:r>
          </w:p>
        </w:tc>
        <w:tc>
          <w:tcPr>
            <w:tcW w:w="1608" w:type="dxa"/>
            <w:vAlign w:val="center"/>
          </w:tcPr>
          <w:p>
            <w:pPr>
              <w:jc w:val="center"/>
              <w:rPr>
                <w:rFonts w:hint="eastAsia" w:ascii="宋体" w:hAnsi="宋体"/>
                <w:b/>
                <w:sz w:val="18"/>
                <w:szCs w:val="18"/>
              </w:rPr>
            </w:pPr>
            <w:r>
              <w:rPr>
                <w:rFonts w:hint="eastAsia" w:ascii="宋体" w:hAnsi="宋体"/>
                <w:b/>
                <w:sz w:val="18"/>
                <w:szCs w:val="18"/>
              </w:rPr>
              <w:t>工作任务</w:t>
            </w:r>
          </w:p>
        </w:tc>
        <w:tc>
          <w:tcPr>
            <w:tcW w:w="3037" w:type="dxa"/>
            <w:vAlign w:val="center"/>
          </w:tcPr>
          <w:p>
            <w:pPr>
              <w:jc w:val="center"/>
              <w:rPr>
                <w:rFonts w:hint="eastAsia" w:ascii="宋体" w:hAnsi="宋体"/>
                <w:b/>
                <w:sz w:val="18"/>
                <w:szCs w:val="18"/>
              </w:rPr>
            </w:pPr>
            <w:r>
              <w:rPr>
                <w:rFonts w:hint="eastAsia" w:ascii="宋体" w:hAnsi="宋体"/>
                <w:b/>
                <w:sz w:val="18"/>
                <w:szCs w:val="18"/>
              </w:rPr>
              <w:t>课程内容和教学要求</w:t>
            </w:r>
          </w:p>
        </w:tc>
        <w:tc>
          <w:tcPr>
            <w:tcW w:w="3031" w:type="dxa"/>
            <w:vAlign w:val="center"/>
          </w:tcPr>
          <w:p>
            <w:pPr>
              <w:jc w:val="center"/>
              <w:rPr>
                <w:rFonts w:hint="eastAsia" w:ascii="宋体" w:hAnsi="宋体"/>
                <w:b/>
                <w:sz w:val="18"/>
                <w:szCs w:val="18"/>
              </w:rPr>
            </w:pPr>
            <w:r>
              <w:rPr>
                <w:rFonts w:hint="eastAsia" w:ascii="宋体" w:hAnsi="宋体"/>
                <w:b/>
                <w:sz w:val="18"/>
                <w:szCs w:val="18"/>
              </w:rPr>
              <w:t>活动设计</w:t>
            </w:r>
          </w:p>
        </w:tc>
        <w:tc>
          <w:tcPr>
            <w:tcW w:w="718" w:type="dxa"/>
            <w:vAlign w:val="center"/>
          </w:tcPr>
          <w:p>
            <w:pPr>
              <w:jc w:val="center"/>
              <w:rPr>
                <w:rFonts w:hint="eastAsia" w:ascii="宋体" w:hAnsi="宋体"/>
                <w:b/>
                <w:sz w:val="18"/>
                <w:szCs w:val="18"/>
              </w:rPr>
            </w:pPr>
            <w:r>
              <w:rPr>
                <w:rFonts w:hint="eastAsia" w:ascii="宋体" w:hAnsi="宋体"/>
                <w:b/>
                <w:sz w:val="18"/>
                <w:szCs w:val="18"/>
              </w:rPr>
              <w:t>参考学时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26" w:type="dxa"/>
            <w:vAlign w:val="center"/>
          </w:tcPr>
          <w:p>
            <w:pPr>
              <w:rPr>
                <w:rFonts w:hint="eastAsia" w:ascii="宋体" w:hAnsi="宋体"/>
                <w:sz w:val="18"/>
                <w:szCs w:val="18"/>
              </w:rPr>
            </w:pPr>
            <w:r>
              <w:rPr>
                <w:rFonts w:hint="eastAsia" w:ascii="宋体" w:hAnsi="宋体"/>
                <w:sz w:val="18"/>
                <w:szCs w:val="18"/>
              </w:rPr>
              <w:t>1</w:t>
            </w:r>
          </w:p>
        </w:tc>
        <w:tc>
          <w:tcPr>
            <w:tcW w:w="1608" w:type="dxa"/>
            <w:vAlign w:val="center"/>
          </w:tcPr>
          <w:p>
            <w:pPr>
              <w:spacing w:beforeLines="0" w:after="200" w:afterLines="0" w:line="276" w:lineRule="auto"/>
              <w:jc w:val="left"/>
              <w:rPr>
                <w:rFonts w:hint="eastAsia" w:ascii="宋体" w:hAnsi="宋体"/>
                <w:sz w:val="22"/>
                <w:lang w:val="zh-CN"/>
              </w:rPr>
            </w:pPr>
            <w:r>
              <w:rPr>
                <w:rFonts w:hint="eastAsia" w:ascii="宋体" w:hAnsi="宋体"/>
                <w:sz w:val="22"/>
                <w:lang w:val="zh-CN"/>
              </w:rPr>
              <w:t>经济法基础理论</w:t>
            </w:r>
          </w:p>
          <w:p>
            <w:pPr>
              <w:rPr>
                <w:rFonts w:hint="eastAsia" w:ascii="宋体" w:hAnsi="宋体"/>
                <w:sz w:val="18"/>
                <w:szCs w:val="18"/>
              </w:rPr>
            </w:pPr>
          </w:p>
        </w:tc>
        <w:tc>
          <w:tcPr>
            <w:tcW w:w="3037" w:type="dxa"/>
            <w:vAlign w:val="center"/>
          </w:tcPr>
          <w:p>
            <w:pPr>
              <w:widowControl/>
              <w:rPr>
                <w:rFonts w:hint="eastAsia" w:ascii="宋体" w:hAnsi="宋体"/>
                <w:sz w:val="18"/>
                <w:szCs w:val="18"/>
              </w:rPr>
            </w:pPr>
            <w:r>
              <w:rPr>
                <w:rFonts w:hint="eastAsia" w:ascii="宋体" w:hAnsi="宋体"/>
                <w:sz w:val="22"/>
                <w:lang w:val="zh-CN"/>
              </w:rPr>
              <w:t xml:space="preserve"> 1、了解经济法概念和调整对象 2、理解并应用经济法特征和原则 3、熟悉经济法律关系和责任</w:t>
            </w:r>
          </w:p>
        </w:tc>
        <w:tc>
          <w:tcPr>
            <w:tcW w:w="3031" w:type="dxa"/>
            <w:vAlign w:val="center"/>
          </w:tcPr>
          <w:p>
            <w:pPr>
              <w:widowControl/>
              <w:rPr>
                <w:rFonts w:hint="eastAsia" w:ascii="宋体" w:hAnsi="宋体"/>
                <w:sz w:val="18"/>
                <w:szCs w:val="18"/>
              </w:rPr>
            </w:pPr>
            <w:r>
              <w:rPr>
                <w:rFonts w:hint="eastAsia" w:ascii="宋体" w:hAnsi="宋体"/>
                <w:sz w:val="22"/>
                <w:lang w:val="zh-CN"/>
              </w:rPr>
              <w:t xml:space="preserve">1.  多媒体演示： 教师根据相关资料制成多媒体课件进行演示和讲解 </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426" w:type="dxa"/>
            <w:vAlign w:val="center"/>
          </w:tcPr>
          <w:p>
            <w:pPr>
              <w:rPr>
                <w:rFonts w:hint="eastAsia" w:ascii="宋体" w:hAnsi="宋体"/>
                <w:sz w:val="18"/>
                <w:szCs w:val="18"/>
              </w:rPr>
            </w:pPr>
            <w:r>
              <w:rPr>
                <w:rFonts w:hint="eastAsia" w:ascii="宋体" w:hAnsi="宋体"/>
                <w:sz w:val="18"/>
                <w:szCs w:val="18"/>
              </w:rPr>
              <w:t>2</w:t>
            </w:r>
          </w:p>
        </w:tc>
        <w:tc>
          <w:tcPr>
            <w:tcW w:w="1608" w:type="dxa"/>
            <w:vAlign w:val="center"/>
          </w:tcPr>
          <w:p>
            <w:pPr>
              <w:rPr>
                <w:rFonts w:hint="eastAsia" w:ascii="宋体" w:hAnsi="宋体"/>
                <w:sz w:val="18"/>
                <w:szCs w:val="18"/>
              </w:rPr>
            </w:pPr>
            <w:r>
              <w:rPr>
                <w:rFonts w:hint="eastAsia" w:ascii="宋体" w:hAnsi="宋体"/>
                <w:sz w:val="22"/>
                <w:lang w:val="zh-CN"/>
              </w:rPr>
              <w:t>公司法</w:t>
            </w:r>
          </w:p>
        </w:tc>
        <w:tc>
          <w:tcPr>
            <w:tcW w:w="3037" w:type="dxa"/>
            <w:vAlign w:val="center"/>
          </w:tcPr>
          <w:p>
            <w:pPr>
              <w:widowControl/>
              <w:rPr>
                <w:rFonts w:hint="eastAsia" w:ascii="宋体" w:hAnsi="宋体"/>
                <w:sz w:val="18"/>
                <w:szCs w:val="18"/>
              </w:rPr>
            </w:pPr>
            <w:r>
              <w:rPr>
                <w:rFonts w:hint="eastAsia" w:ascii="宋体" w:hAnsi="宋体"/>
                <w:sz w:val="22"/>
                <w:lang w:val="zh-CN"/>
              </w:rPr>
              <w:t xml:space="preserve">1、了解公司法概述  2、理解并应用公司分类  3、理解并应用公司各种人员的资格、义务和责任  4、熟悉公司财务和会计以及公司债券  5、了解公司变更解散和清算 </w:t>
            </w:r>
          </w:p>
        </w:tc>
        <w:tc>
          <w:tcPr>
            <w:tcW w:w="3031" w:type="dxa"/>
            <w:vAlign w:val="center"/>
          </w:tcPr>
          <w:p>
            <w:pPr>
              <w:widowControl/>
              <w:rPr>
                <w:rFonts w:hint="eastAsia" w:ascii="宋体" w:hAnsi="宋体"/>
                <w:sz w:val="18"/>
                <w:szCs w:val="18"/>
              </w:rPr>
            </w:pPr>
            <w:r>
              <w:rPr>
                <w:rFonts w:hint="eastAsia" w:ascii="宋体" w:hAnsi="宋体"/>
                <w:sz w:val="22"/>
                <w:lang w:val="zh-CN"/>
              </w:rPr>
              <w:t xml:space="preserve"> 1. 多媒体演示：教师根据相关资料制成多媒体课件进行演示和讲解  2. 情景模拟：由学生扮演公司各种人员，各种人员了解自己具备的资格、义务和责任  3.角色互换:由学生分别扮演公司人员的角色，要求按照角色分别行使相应职责</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26" w:type="dxa"/>
            <w:vAlign w:val="center"/>
          </w:tcPr>
          <w:p>
            <w:pPr>
              <w:rPr>
                <w:rFonts w:hint="eastAsia" w:ascii="宋体" w:hAnsi="宋体"/>
                <w:sz w:val="18"/>
                <w:szCs w:val="18"/>
              </w:rPr>
            </w:pPr>
            <w:r>
              <w:rPr>
                <w:rFonts w:hint="eastAsia" w:ascii="宋体" w:hAnsi="宋体"/>
                <w:sz w:val="18"/>
                <w:szCs w:val="18"/>
              </w:rPr>
              <w:t>3</w:t>
            </w:r>
          </w:p>
        </w:tc>
        <w:tc>
          <w:tcPr>
            <w:tcW w:w="1608" w:type="dxa"/>
            <w:vAlign w:val="center"/>
          </w:tcPr>
          <w:p>
            <w:pPr>
              <w:rPr>
                <w:rFonts w:hint="eastAsia" w:ascii="宋体" w:hAnsi="宋体"/>
                <w:sz w:val="18"/>
                <w:szCs w:val="18"/>
              </w:rPr>
            </w:pPr>
            <w:r>
              <w:rPr>
                <w:rFonts w:hint="eastAsia" w:ascii="宋体" w:hAnsi="宋体"/>
                <w:sz w:val="22"/>
                <w:lang w:val="zh-CN"/>
              </w:rPr>
              <w:t xml:space="preserve">3 企业法     </w:t>
            </w:r>
          </w:p>
        </w:tc>
        <w:tc>
          <w:tcPr>
            <w:tcW w:w="3037" w:type="dxa"/>
            <w:vAlign w:val="center"/>
          </w:tcPr>
          <w:p>
            <w:pPr>
              <w:widowControl/>
              <w:rPr>
                <w:rFonts w:hint="eastAsia" w:ascii="宋体" w:hAnsi="宋体"/>
                <w:sz w:val="18"/>
                <w:szCs w:val="18"/>
              </w:rPr>
            </w:pPr>
            <w:r>
              <w:rPr>
                <w:rFonts w:hint="eastAsia" w:ascii="宋体" w:hAnsi="宋体"/>
                <w:sz w:val="22"/>
                <w:lang w:val="zh-CN"/>
              </w:rPr>
              <w:t xml:space="preserve"> 1、理解并应用合伙企业法 2、理解并应用外商投资企业法 3、了解个人独资企业法  </w:t>
            </w:r>
          </w:p>
        </w:tc>
        <w:tc>
          <w:tcPr>
            <w:tcW w:w="3031" w:type="dxa"/>
            <w:vAlign w:val="center"/>
          </w:tcPr>
          <w:p>
            <w:pPr>
              <w:widowControl/>
              <w:rPr>
                <w:rFonts w:hint="eastAsia" w:ascii="宋体" w:hAnsi="宋体"/>
                <w:sz w:val="18"/>
                <w:szCs w:val="18"/>
              </w:rPr>
            </w:pPr>
            <w:r>
              <w:rPr>
                <w:rFonts w:hint="eastAsia" w:ascii="宋体" w:hAnsi="宋体"/>
                <w:sz w:val="22"/>
                <w:lang w:val="zh-CN"/>
              </w:rPr>
              <w:t>1、多媒体演示：教师根据 相关资料制成多媒体课件进行演示和讲解 2、案例分析：根据不同的 业务类型选择有代表性 的业务，分小组讨论，使学生对典型的经济业务深入理解  3、情景模拟：由学生扮演 各种企业人员，了解不 同类别企业应具备的条件</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426" w:type="dxa"/>
            <w:vAlign w:val="center"/>
          </w:tcPr>
          <w:p>
            <w:pPr>
              <w:rPr>
                <w:rFonts w:hint="eastAsia" w:ascii="宋体" w:hAnsi="宋体"/>
                <w:sz w:val="18"/>
                <w:szCs w:val="18"/>
              </w:rPr>
            </w:pPr>
            <w:r>
              <w:rPr>
                <w:rFonts w:hint="eastAsia" w:ascii="宋体" w:hAnsi="宋体"/>
                <w:sz w:val="18"/>
                <w:szCs w:val="18"/>
              </w:rPr>
              <w:t>4</w:t>
            </w:r>
          </w:p>
        </w:tc>
        <w:tc>
          <w:tcPr>
            <w:tcW w:w="1608" w:type="dxa"/>
            <w:vAlign w:val="center"/>
          </w:tcPr>
          <w:p>
            <w:pPr>
              <w:rPr>
                <w:rFonts w:hint="eastAsia" w:ascii="宋体" w:hAnsi="宋体"/>
                <w:sz w:val="18"/>
                <w:szCs w:val="18"/>
              </w:rPr>
            </w:pPr>
            <w:r>
              <w:rPr>
                <w:rFonts w:hint="eastAsia" w:ascii="宋体" w:hAnsi="宋体"/>
                <w:sz w:val="22"/>
                <w:lang w:val="zh-CN"/>
              </w:rPr>
              <w:t xml:space="preserve"> 4  破产法 </w:t>
            </w:r>
          </w:p>
        </w:tc>
        <w:tc>
          <w:tcPr>
            <w:tcW w:w="3037" w:type="dxa"/>
            <w:vAlign w:val="center"/>
          </w:tcPr>
          <w:p>
            <w:pPr>
              <w:widowControl/>
              <w:rPr>
                <w:rFonts w:hint="eastAsia" w:ascii="宋体" w:hAnsi="宋体"/>
                <w:sz w:val="18"/>
                <w:szCs w:val="18"/>
              </w:rPr>
            </w:pPr>
            <w:r>
              <w:rPr>
                <w:rFonts w:hint="eastAsia" w:ascii="宋体" w:hAnsi="宋体"/>
                <w:sz w:val="22"/>
                <w:lang w:val="zh-CN"/>
              </w:rPr>
              <w:t>1、理解并应用破产案件的申请和受理  2、理解并应用破产宣告和清算 3、理解并应用重整与和解</w:t>
            </w:r>
          </w:p>
        </w:tc>
        <w:tc>
          <w:tcPr>
            <w:tcW w:w="3031" w:type="dxa"/>
            <w:textDirection w:val="lrTb"/>
            <w:vAlign w:val="center"/>
          </w:tcPr>
          <w:p>
            <w:pPr>
              <w:rPr>
                <w:rFonts w:hint="eastAsia" w:ascii="宋体" w:hAnsi="宋体"/>
                <w:sz w:val="18"/>
                <w:szCs w:val="18"/>
              </w:rPr>
            </w:pPr>
            <w:r>
              <w:rPr>
                <w:rFonts w:hint="eastAsia" w:ascii="宋体" w:hAnsi="宋体"/>
                <w:sz w:val="22"/>
                <w:lang w:val="zh-CN"/>
              </w:rPr>
              <w:t xml:space="preserve">   1、多媒体演示：教师根据相关资料制成多媒体课件进行演示  2.案例分析：根据不同的业务类型选择有代表性的业务，分小组讨论，使学生对典型的经济业务深入了解。</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426" w:type="dxa"/>
            <w:vAlign w:val="center"/>
          </w:tcPr>
          <w:p>
            <w:pPr>
              <w:rPr>
                <w:rFonts w:hint="eastAsia" w:ascii="宋体" w:hAnsi="宋体"/>
                <w:sz w:val="18"/>
                <w:szCs w:val="18"/>
              </w:rPr>
            </w:pPr>
          </w:p>
        </w:tc>
        <w:tc>
          <w:tcPr>
            <w:tcW w:w="1608" w:type="dxa"/>
            <w:vAlign w:val="center"/>
          </w:tcPr>
          <w:p>
            <w:pPr>
              <w:rPr>
                <w:rFonts w:hint="eastAsia" w:ascii="宋体" w:hAnsi="宋体"/>
                <w:sz w:val="22"/>
                <w:lang w:val="zh-CN"/>
              </w:rPr>
            </w:pPr>
            <w:r>
              <w:rPr>
                <w:rFonts w:hint="eastAsia" w:ascii="宋体" w:hAnsi="宋体"/>
                <w:sz w:val="22"/>
                <w:lang w:val="zh-CN"/>
              </w:rPr>
              <w:t>合同法</w:t>
            </w:r>
          </w:p>
        </w:tc>
        <w:tc>
          <w:tcPr>
            <w:tcW w:w="3037" w:type="dxa"/>
            <w:vAlign w:val="center"/>
          </w:tcPr>
          <w:p>
            <w:pPr>
              <w:widowControl/>
              <w:rPr>
                <w:rFonts w:hint="eastAsia" w:ascii="宋体" w:hAnsi="宋体"/>
                <w:sz w:val="22"/>
                <w:lang w:val="zh-CN"/>
              </w:rPr>
            </w:pPr>
            <w:r>
              <w:rPr>
                <w:rFonts w:hint="eastAsia" w:ascii="宋体" w:hAnsi="宋体"/>
                <w:sz w:val="22"/>
                <w:lang w:val="zh-CN"/>
              </w:rPr>
              <w:t xml:space="preserve"> 1、了解合同法概述  2、理解并应用合同的成立 3、理解并应用合同的效力 4、理解并应用合同的履行  5、理解并应用合同的变更、转让及终止  6、熟悉违约责任  </w:t>
            </w:r>
          </w:p>
        </w:tc>
        <w:tc>
          <w:tcPr>
            <w:tcW w:w="3031" w:type="dxa"/>
            <w:textDirection w:val="lrTb"/>
            <w:vAlign w:val="center"/>
          </w:tcPr>
          <w:p>
            <w:pPr>
              <w:rPr>
                <w:rFonts w:hint="eastAsia" w:ascii="宋体" w:hAnsi="宋体"/>
                <w:sz w:val="22"/>
                <w:lang w:val="zh-CN"/>
              </w:rPr>
            </w:pPr>
            <w:r>
              <w:rPr>
                <w:rFonts w:hint="eastAsia" w:ascii="宋体" w:hAnsi="宋体"/>
                <w:sz w:val="22"/>
                <w:lang w:val="zh-CN"/>
              </w:rPr>
              <w:t xml:space="preserve"> 1. 多媒体演示：教师根据相关资料制成多媒体课件进行演示和讲解  2. 情景模拟：由学生扮演公司各种人员，各种人员了解自己具备的资格、义务和责任  3. 角色互换:由学生分别扮演公司人员的角色，要求按照角色分别行使相应职责  4. 案例分析：根据不同的 业务类型选择有代表性的业务，分小组讨论，使学生对典型的经济业务深入了解。   </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426" w:type="dxa"/>
            <w:vAlign w:val="center"/>
          </w:tcPr>
          <w:p>
            <w:pPr>
              <w:rPr>
                <w:rFonts w:hint="eastAsia" w:ascii="宋体" w:hAnsi="宋体"/>
                <w:sz w:val="18"/>
                <w:szCs w:val="18"/>
              </w:rPr>
            </w:pPr>
          </w:p>
        </w:tc>
        <w:tc>
          <w:tcPr>
            <w:tcW w:w="1608" w:type="dxa"/>
            <w:vAlign w:val="center"/>
          </w:tcPr>
          <w:p>
            <w:pPr>
              <w:rPr>
                <w:rFonts w:hint="eastAsia" w:ascii="宋体" w:hAnsi="宋体"/>
                <w:sz w:val="22"/>
                <w:lang w:val="zh-CN"/>
              </w:rPr>
            </w:pPr>
            <w:r>
              <w:rPr>
                <w:rFonts w:hint="eastAsia" w:ascii="宋体" w:hAnsi="宋体"/>
                <w:sz w:val="22"/>
                <w:lang w:val="zh-CN"/>
              </w:rPr>
              <w:t>证券 法</w:t>
            </w:r>
          </w:p>
        </w:tc>
        <w:tc>
          <w:tcPr>
            <w:tcW w:w="3037" w:type="dxa"/>
            <w:vAlign w:val="center"/>
          </w:tcPr>
          <w:p>
            <w:pPr>
              <w:widowControl/>
              <w:rPr>
                <w:rFonts w:hint="eastAsia" w:ascii="宋体" w:hAnsi="宋体"/>
                <w:sz w:val="22"/>
                <w:lang w:val="zh-CN"/>
              </w:rPr>
            </w:pPr>
            <w:r>
              <w:rPr>
                <w:rFonts w:hint="eastAsia" w:ascii="宋体" w:hAnsi="宋体"/>
                <w:sz w:val="22"/>
                <w:lang w:val="zh-CN"/>
              </w:rPr>
              <w:t xml:space="preserve">   1、了解证券法概述  2、理解并应用证券的发行 3、理解并应用证券的交易  4、理解并应用上市公司的收购 5、了解相关的证券机构  </w:t>
            </w:r>
          </w:p>
        </w:tc>
        <w:tc>
          <w:tcPr>
            <w:tcW w:w="3031" w:type="dxa"/>
            <w:textDirection w:val="lrTb"/>
            <w:vAlign w:val="center"/>
          </w:tcPr>
          <w:p>
            <w:pPr>
              <w:rPr>
                <w:rFonts w:hint="eastAsia" w:ascii="宋体" w:hAnsi="宋体"/>
                <w:sz w:val="22"/>
                <w:lang w:val="zh-CN"/>
              </w:rPr>
            </w:pPr>
            <w:r>
              <w:rPr>
                <w:rFonts w:hint="eastAsia" w:ascii="宋体" w:hAnsi="宋体"/>
                <w:sz w:val="22"/>
                <w:lang w:val="zh-CN"/>
              </w:rPr>
              <w:t>1. 多媒体演示：教师根据相关资料制成多媒体课件进行演示和讲解  2. 情景模拟：由学生扮演公司各种人员，各种人员了解自己具备的资格、义务和责任  3. 角色互换:由学生分别扮演公司人员的角色，要求按照角色分别行使相应职责 4. 案例分析：根据不同的 业务类型选择有代表性 的业务，分小组讨论，使学生对典型的经济业务深入了解。</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34" w:type="dxa"/>
            <w:gridSpan w:val="2"/>
            <w:vMerge w:val="restart"/>
            <w:vAlign w:val="center"/>
          </w:tcPr>
          <w:p>
            <w:pPr>
              <w:tabs>
                <w:tab w:val="left" w:pos="705"/>
              </w:tabs>
              <w:jc w:val="center"/>
              <w:rPr>
                <w:rFonts w:hint="eastAsia" w:ascii="宋体" w:hAnsi="宋体"/>
                <w:sz w:val="18"/>
                <w:szCs w:val="18"/>
              </w:rPr>
            </w:pPr>
            <w:r>
              <w:rPr>
                <w:rFonts w:hint="eastAsia" w:ascii="宋体" w:hAnsi="宋体"/>
                <w:sz w:val="18"/>
                <w:szCs w:val="18"/>
              </w:rPr>
              <w:t>其它</w:t>
            </w:r>
          </w:p>
        </w:tc>
        <w:tc>
          <w:tcPr>
            <w:tcW w:w="6068" w:type="dxa"/>
            <w:gridSpan w:val="2"/>
            <w:vAlign w:val="center"/>
          </w:tcPr>
          <w:p>
            <w:pPr>
              <w:jc w:val="center"/>
              <w:rPr>
                <w:rFonts w:hint="eastAsia" w:ascii="宋体" w:hAnsi="宋体"/>
                <w:sz w:val="18"/>
                <w:szCs w:val="18"/>
              </w:rPr>
            </w:pPr>
            <w:r>
              <w:rPr>
                <w:rFonts w:hint="eastAsia" w:ascii="宋体" w:hAnsi="宋体"/>
                <w:sz w:val="18"/>
                <w:szCs w:val="18"/>
              </w:rPr>
              <w:t>机动</w:t>
            </w:r>
            <w:r>
              <w:rPr>
                <w:rFonts w:hint="eastAsia" w:ascii="宋体" w:hAnsi="宋体"/>
                <w:sz w:val="18"/>
                <w:szCs w:val="18"/>
                <w:lang w:val="en-US" w:eastAsia="zh-CN"/>
              </w:rPr>
              <w:t>2</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34" w:type="dxa"/>
            <w:gridSpan w:val="2"/>
            <w:vMerge w:val="continue"/>
            <w:vAlign w:val="center"/>
          </w:tcPr>
          <w:p>
            <w:pPr>
              <w:tabs>
                <w:tab w:val="left" w:pos="705"/>
              </w:tabs>
              <w:jc w:val="center"/>
              <w:rPr>
                <w:rFonts w:hint="eastAsia" w:ascii="宋体" w:hAnsi="宋体"/>
                <w:sz w:val="18"/>
                <w:szCs w:val="18"/>
              </w:rPr>
            </w:pPr>
          </w:p>
        </w:tc>
        <w:tc>
          <w:tcPr>
            <w:tcW w:w="6068" w:type="dxa"/>
            <w:gridSpan w:val="2"/>
            <w:vAlign w:val="center"/>
          </w:tcPr>
          <w:p>
            <w:pPr>
              <w:jc w:val="center"/>
              <w:rPr>
                <w:rFonts w:hint="eastAsia" w:ascii="宋体" w:hAnsi="宋体"/>
                <w:sz w:val="18"/>
                <w:szCs w:val="18"/>
              </w:rPr>
            </w:pPr>
            <w:r>
              <w:rPr>
                <w:rFonts w:hint="eastAsia" w:ascii="宋体" w:hAnsi="宋体"/>
                <w:sz w:val="18"/>
                <w:szCs w:val="18"/>
              </w:rPr>
              <w:t>考核评价</w:t>
            </w:r>
            <w:r>
              <w:rPr>
                <w:rFonts w:hint="eastAsia" w:ascii="宋体" w:hAnsi="宋体"/>
                <w:sz w:val="18"/>
                <w:szCs w:val="18"/>
                <w:lang w:val="en-US" w:eastAsia="zh-CN"/>
              </w:rPr>
              <w:t>2</w:t>
            </w:r>
          </w:p>
        </w:tc>
        <w:tc>
          <w:tcPr>
            <w:tcW w:w="718" w:type="dxa"/>
            <w:vAlign w:val="center"/>
          </w:tcPr>
          <w:p>
            <w:pPr>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02" w:type="dxa"/>
            <w:gridSpan w:val="4"/>
            <w:vAlign w:val="center"/>
          </w:tcPr>
          <w:p>
            <w:pPr>
              <w:jc w:val="center"/>
              <w:rPr>
                <w:rFonts w:hint="eastAsia" w:ascii="宋体" w:hAnsi="宋体"/>
                <w:sz w:val="18"/>
                <w:szCs w:val="18"/>
              </w:rPr>
            </w:pPr>
            <w:r>
              <w:rPr>
                <w:rFonts w:hint="eastAsia" w:ascii="宋体" w:hAnsi="宋体"/>
                <w:sz w:val="18"/>
                <w:szCs w:val="18"/>
              </w:rPr>
              <w:t>总课时</w:t>
            </w:r>
            <w:r>
              <w:rPr>
                <w:rFonts w:hint="eastAsia" w:ascii="宋体" w:hAnsi="宋体"/>
                <w:sz w:val="18"/>
                <w:szCs w:val="18"/>
                <w:lang w:val="en-US" w:eastAsia="zh-CN"/>
              </w:rPr>
              <w:t>60</w:t>
            </w:r>
          </w:p>
        </w:tc>
        <w:tc>
          <w:tcPr>
            <w:tcW w:w="718" w:type="dxa"/>
            <w:vAlign w:val="center"/>
          </w:tcPr>
          <w:p>
            <w:pPr>
              <w:jc w:val="center"/>
              <w:rPr>
                <w:rFonts w:hint="eastAsia" w:ascii="宋体" w:hAnsi="宋体"/>
                <w:sz w:val="18"/>
                <w:szCs w:val="18"/>
              </w:rPr>
            </w:pPr>
          </w:p>
        </w:tc>
      </w:tr>
    </w:tbl>
    <w:p>
      <w:pPr>
        <w:spacing w:line="312" w:lineRule="auto"/>
        <w:ind w:firstLine="422" w:firstLineChars="200"/>
        <w:rPr>
          <w:rFonts w:hint="eastAsia" w:ascii="宋体" w:hAnsi="宋体"/>
          <w:b/>
          <w:bCs/>
        </w:rPr>
      </w:pPr>
      <w:r>
        <w:rPr>
          <w:rFonts w:hint="eastAsia" w:ascii="宋体" w:hAnsi="宋体"/>
          <w:b/>
          <w:bCs/>
        </w:rPr>
        <w:t>4．实施建议</w:t>
      </w:r>
    </w:p>
    <w:p>
      <w:pPr>
        <w:spacing w:line="312" w:lineRule="auto"/>
        <w:ind w:firstLine="422" w:firstLineChars="200"/>
        <w:rPr>
          <w:rFonts w:ascii="宋体" w:hAnsi="宋体"/>
          <w:b/>
          <w:bCs/>
        </w:rPr>
      </w:pPr>
      <w:r>
        <w:rPr>
          <w:rFonts w:hint="eastAsia" w:ascii="宋体" w:hAnsi="宋体"/>
          <w:b/>
          <w:bCs/>
        </w:rPr>
        <w:t>4.1  教材选用（编写</w:t>
      </w:r>
      <w:r>
        <w:rPr>
          <w:rFonts w:ascii="宋体" w:hAnsi="宋体"/>
          <w:b/>
          <w:bCs/>
        </w:rPr>
        <w:t>）</w:t>
      </w:r>
    </w:p>
    <w:p>
      <w:pPr>
        <w:numPr>
          <w:ilvl w:val="0"/>
          <w:numId w:val="0"/>
        </w:numPr>
      </w:pPr>
      <w:r>
        <w:rPr>
          <w:rFonts w:hint="eastAsia"/>
          <w:lang w:val="en-US" w:eastAsia="zh-CN"/>
        </w:rPr>
        <w:t xml:space="preserve"> </w:t>
      </w:r>
      <w:r>
        <w:rPr>
          <w:rFonts w:hint="eastAsia"/>
        </w:rPr>
        <w:t xml:space="preserve">1、必须依据本课程标准编写教材。 </w:t>
      </w:r>
    </w:p>
    <w:p>
      <w:pPr>
        <w:numPr>
          <w:ilvl w:val="0"/>
          <w:numId w:val="0"/>
        </w:numPr>
        <w:rPr>
          <w:rFonts w:hint="eastAsia"/>
        </w:rPr>
      </w:pPr>
      <w:r>
        <w:rPr>
          <w:rFonts w:hint="eastAsia"/>
        </w:rPr>
        <w:t xml:space="preserve"> 2、教材应充分体现任务引领、实践导向的课程设计思想。以市场主体法所涉及的各项任务为主线，结合职业技能证书考核——各种执业资格证书的要求和企业对实际操作能力的要求，合理安排教材内容。以学生未来的发展和知识结构的要求必需够用为度，不追求理论的深度与难度。 </w:t>
      </w:r>
    </w:p>
    <w:p>
      <w:pPr>
        <w:numPr>
          <w:ilvl w:val="0"/>
          <w:numId w:val="0"/>
        </w:numPr>
        <w:rPr>
          <w:rFonts w:hint="eastAsia"/>
        </w:rPr>
      </w:pPr>
      <w:r>
        <w:rPr>
          <w:rFonts w:hint="eastAsia"/>
        </w:rPr>
        <w:t xml:space="preserve"> 3、教材在内容上应既实用又开放，即在注重实际操作能力训练的同时，还应把经济业务操作过程中的新知识、新技术和新方法融入教材，以便教材内容更加贴近经济业务处理的实际。在形式上应适合高职学生认知特点，文字表达要深入浅出，图文展现应图文并茂。  </w:t>
      </w:r>
    </w:p>
    <w:p>
      <w:pPr>
        <w:numPr>
          <w:ilvl w:val="0"/>
          <w:numId w:val="0"/>
        </w:numPr>
      </w:pPr>
      <w:r>
        <w:rPr>
          <w:rFonts w:hint="eastAsia"/>
        </w:rPr>
        <w:t>4、为了提高学生学习的积极性和主动性，培养学生处理经济业务的综合职业能力，教材应根据工作任务的需要设计相应的技能训练</w:t>
      </w:r>
      <w:r>
        <w:rPr>
          <w:rFonts w:hint="eastAsia"/>
          <w:lang w:eastAsia="zh-CN"/>
        </w:rPr>
        <w:t>。</w:t>
      </w:r>
      <w:r>
        <w:rPr>
          <w:rFonts w:hint="eastAsia" w:ascii="宋体" w:hAnsi="宋体" w:eastAsia="宋体" w:cs="宋体"/>
          <w:color w:val="000000"/>
          <w:kern w:val="0"/>
          <w:sz w:val="21"/>
          <w:szCs w:val="21"/>
          <w:lang w:val="en-US" w:eastAsia="zh-CN" w:bidi="ar"/>
        </w:rPr>
        <w:t>案例选择应该紧贴社会热点和学生的职业岗位要求。</w:t>
      </w:r>
    </w:p>
    <w:p>
      <w:pPr>
        <w:spacing w:line="312" w:lineRule="auto"/>
        <w:ind w:firstLine="422" w:firstLineChars="200"/>
        <w:rPr>
          <w:rFonts w:hint="eastAsia" w:ascii="宋体" w:hAnsi="宋体"/>
          <w:b/>
          <w:bCs/>
        </w:rPr>
      </w:pPr>
    </w:p>
    <w:p>
      <w:pPr>
        <w:spacing w:line="312" w:lineRule="auto"/>
        <w:ind w:firstLine="422" w:firstLineChars="200"/>
        <w:rPr>
          <w:rFonts w:hint="eastAsia" w:ascii="宋体" w:hAnsi="宋体"/>
          <w:b/>
          <w:bCs/>
        </w:rPr>
      </w:pPr>
      <w:r>
        <w:rPr>
          <w:rFonts w:hint="eastAsia" w:ascii="宋体" w:hAnsi="宋体"/>
          <w:b/>
          <w:bCs/>
        </w:rPr>
        <w:t>4.2  教学方法</w:t>
      </w:r>
    </w:p>
    <w:p>
      <w:pPr>
        <w:keepNext w:val="0"/>
        <w:keepLines w:val="0"/>
        <w:widowControl/>
        <w:numPr>
          <w:ilvl w:val="0"/>
          <w:numId w:val="3"/>
        </w:numPr>
        <w:suppressLineNumbers w:val="0"/>
        <w:snapToGrid w:val="0"/>
        <w:spacing w:before="0" w:beforeAutospacing="0" w:after="0" w:afterAutospacing="0" w:line="360" w:lineRule="auto"/>
        <w:ind w:left="0" w:right="0" w:firstLine="422"/>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突出过程与模块评价</w:t>
      </w:r>
    </w:p>
    <w:p>
      <w:pPr>
        <w:rPr>
          <w:rFonts w:hint="eastAsia"/>
          <w:lang w:val="en-US" w:eastAsia="zh-CN"/>
        </w:rPr>
      </w:pPr>
      <w:r>
        <w:rPr>
          <w:rFonts w:hint="eastAsia"/>
          <w:lang w:val="en-US" w:eastAsia="zh-CN"/>
        </w:rPr>
        <w:t xml:space="preserve">    </w:t>
      </w:r>
      <w:r>
        <w:rPr>
          <w:rFonts w:hint="eastAsia"/>
          <w:lang w:val="en-US" w:eastAsia="zh-CN"/>
        </w:rPr>
        <w:t xml:space="preserve"> 结合课堂提问、业务操作、课后作业、模块考核等手段，加强职业行为导向教学环节的考核，并注重平时采集，强调目标评价和理论与实践一体化评价，注重引导学生进行学习方式的转变。</w:t>
      </w:r>
    </w:p>
    <w:p>
      <w:pPr>
        <w:keepNext w:val="0"/>
        <w:keepLines w:val="0"/>
        <w:widowControl/>
        <w:suppressLineNumbers w:val="0"/>
        <w:snapToGrid w:val="0"/>
        <w:spacing w:before="0" w:beforeAutospacing="0" w:after="0" w:afterAutospacing="0" w:line="360" w:lineRule="auto"/>
        <w:ind w:left="0" w:right="0" w:firstLine="422"/>
        <w:jc w:val="both"/>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b/>
          <w:color w:val="000000"/>
          <w:kern w:val="0"/>
          <w:sz w:val="21"/>
          <w:szCs w:val="21"/>
          <w:lang w:val="en-US" w:eastAsia="zh-CN" w:bidi="ar"/>
        </w:rPr>
        <w:t>2.</w:t>
      </w:r>
      <w:r>
        <w:rPr>
          <w:rFonts w:hint="eastAsia" w:ascii="宋体" w:hAnsi="宋体" w:eastAsia="宋体" w:cs="宋体"/>
          <w:b/>
          <w:color w:val="000000"/>
          <w:kern w:val="0"/>
          <w:sz w:val="21"/>
          <w:szCs w:val="21"/>
          <w:lang w:val="en-US" w:eastAsia="zh-CN" w:bidi="ar"/>
        </w:rPr>
        <w:t>强调课程结束后综合评价</w:t>
      </w:r>
    </w:p>
    <w:p>
      <w:pPr>
        <w:rPr>
          <w:rFonts w:hint="eastAsia"/>
          <w:lang w:val="en-US" w:eastAsia="zh-CN"/>
        </w:rPr>
      </w:pPr>
      <w:r>
        <w:rPr>
          <w:rFonts w:hint="eastAsia"/>
          <w:lang w:val="en-US" w:eastAsia="zh-CN"/>
        </w:rPr>
        <w:t xml:space="preserve">    结合案例分析、模拟实训等手段，充分发挥学生的主动性和创造性，注重考核学生所拥有的综合职业能力以及水平，建议在教学中分任务模块等职业行为评分，课程结束后进行综合模块考核。</w:t>
      </w:r>
    </w:p>
    <w:p>
      <w:pPr>
        <w:keepNext w:val="0"/>
        <w:keepLines w:val="0"/>
        <w:widowControl/>
        <w:suppressLineNumbers w:val="0"/>
        <w:snapToGrid w:val="0"/>
        <w:spacing w:before="0" w:beforeAutospacing="0" w:after="0" w:afterAutospacing="0" w:line="360" w:lineRule="auto"/>
        <w:ind w:left="0" w:right="0" w:firstLine="422"/>
        <w:jc w:val="both"/>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b/>
          <w:color w:val="000000"/>
          <w:kern w:val="0"/>
          <w:sz w:val="21"/>
          <w:szCs w:val="21"/>
          <w:lang w:val="en-US" w:eastAsia="zh-CN" w:bidi="ar"/>
        </w:rPr>
        <w:t>3.</w:t>
      </w:r>
      <w:r>
        <w:rPr>
          <w:rFonts w:hint="eastAsia" w:ascii="宋体" w:hAnsi="宋体" w:eastAsia="宋体" w:cs="宋体"/>
          <w:b/>
          <w:color w:val="000000"/>
          <w:kern w:val="0"/>
          <w:sz w:val="21"/>
          <w:szCs w:val="21"/>
          <w:lang w:val="en-US" w:eastAsia="zh-CN" w:bidi="ar"/>
        </w:rPr>
        <w:t>实现理论与实训一体化</w:t>
      </w:r>
      <w:r>
        <w:rPr>
          <w:rFonts w:hint="eastAsia" w:ascii="宋体" w:hAnsi="宋体" w:eastAsia="宋体" w:cs="宋体"/>
          <w:color w:val="000000"/>
          <w:kern w:val="0"/>
          <w:sz w:val="21"/>
          <w:szCs w:val="21"/>
          <w:lang w:val="en-US" w:eastAsia="zh-CN" w:bidi="ar"/>
        </w:rPr>
        <w:t>。</w:t>
      </w:r>
    </w:p>
    <w:p>
      <w:pPr>
        <w:rPr>
          <w:rFonts w:hint="eastAsia"/>
          <w:lang w:val="en-US" w:eastAsia="zh-CN"/>
        </w:rPr>
      </w:pPr>
      <w:r>
        <w:rPr>
          <w:rFonts w:hint="eastAsia"/>
          <w:lang w:val="en-US" w:eastAsia="zh-CN"/>
        </w:rPr>
        <w:t xml:space="preserve">    打破理论教学与实践教学的界限，淡化理论课与实训课之间的界限，实现理论与实训的融合是提高学生实际运用能力的有效途径，也是职业教育发展的趋势。建议本课程和其他同时开设的课程实现实训共享，一起安排实训课程。</w:t>
      </w:r>
    </w:p>
    <w:p>
      <w:pPr>
        <w:spacing w:line="312" w:lineRule="auto"/>
        <w:ind w:firstLine="422" w:firstLineChars="200"/>
        <w:rPr>
          <w:rFonts w:hint="eastAsia" w:ascii="宋体" w:hAnsi="宋体"/>
          <w:b/>
          <w:bCs/>
        </w:rPr>
      </w:pPr>
    </w:p>
    <w:p>
      <w:pPr>
        <w:spacing w:line="312" w:lineRule="auto"/>
        <w:ind w:firstLine="422" w:firstLineChars="200"/>
        <w:rPr>
          <w:rFonts w:hint="eastAsia" w:ascii="宋体" w:hAnsi="宋体"/>
          <w:b/>
          <w:bCs/>
        </w:rPr>
      </w:pPr>
      <w:r>
        <w:rPr>
          <w:rFonts w:hint="eastAsia" w:ascii="宋体" w:hAnsi="宋体"/>
          <w:b/>
          <w:bCs/>
        </w:rPr>
        <w:t>4.3  作业设计</w:t>
      </w:r>
    </w:p>
    <w:p>
      <w:pPr>
        <w:ind w:firstLine="424" w:firstLineChars="202"/>
        <w:rPr>
          <w:rFonts w:hint="eastAsia" w:eastAsia="宋体"/>
          <w:lang w:eastAsia="zh-CN"/>
        </w:rPr>
      </w:pPr>
      <w:r>
        <w:rPr>
          <w:rFonts w:hint="eastAsia"/>
        </w:rPr>
        <w:t>《</w:t>
      </w:r>
      <w:r>
        <w:rPr>
          <w:rFonts w:hint="eastAsia"/>
          <w:lang w:eastAsia="zh-CN"/>
        </w:rPr>
        <w:t>经济法</w:t>
      </w:r>
      <w:r>
        <w:rPr>
          <w:rFonts w:hint="eastAsia"/>
        </w:rPr>
        <w:t>》课程教学分模块进行，充分体现了能力本位课程教学特点，</w:t>
      </w:r>
      <w:r>
        <w:rPr>
          <w:rFonts w:hint="eastAsia"/>
          <w:lang w:eastAsia="zh-CN"/>
        </w:rPr>
        <w:t>又要体现为考证服务的主旨，</w:t>
      </w:r>
      <w:r>
        <w:rPr>
          <w:rFonts w:hint="eastAsia"/>
        </w:rPr>
        <w:t>在作业设计上主要分</w:t>
      </w:r>
      <w:r>
        <w:rPr>
          <w:rFonts w:hint="eastAsia"/>
          <w:lang w:eastAsia="zh-CN"/>
        </w:rPr>
        <w:t>二</w:t>
      </w:r>
      <w:r>
        <w:rPr>
          <w:rFonts w:hint="eastAsia"/>
        </w:rPr>
        <w:t>种模式进行：</w:t>
      </w:r>
      <w:r>
        <w:rPr>
          <w:rFonts w:hint="eastAsia"/>
          <w:lang w:eastAsia="zh-CN"/>
        </w:rPr>
        <w:t>实训报告</w:t>
      </w:r>
      <w:r>
        <w:rPr>
          <w:rFonts w:hint="eastAsia"/>
          <w:lang w:val="en-US" w:eastAsia="zh-CN"/>
        </w:rPr>
        <w:t>、</w:t>
      </w:r>
      <w:r>
        <w:rPr>
          <w:rFonts w:hint="eastAsia"/>
          <w:lang w:eastAsia="zh-CN"/>
        </w:rPr>
        <w:t>综合习题。更具不同需要，调整比重。不考证时，能力本位任务驱动，实训为主。考证则以综合练习为主。</w:t>
      </w:r>
      <w:bookmarkStart w:id="0" w:name="_GoBack"/>
      <w:bookmarkEnd w:id="0"/>
    </w:p>
    <w:p>
      <w:pPr>
        <w:spacing w:line="312" w:lineRule="auto"/>
        <w:ind w:firstLine="422" w:firstLineChars="200"/>
        <w:rPr>
          <w:rFonts w:hint="eastAsia" w:ascii="宋体" w:hAnsi="宋体"/>
          <w:b/>
          <w:bCs/>
        </w:rPr>
      </w:pPr>
    </w:p>
    <w:p>
      <w:pPr>
        <w:ind w:firstLine="424" w:firstLineChars="202"/>
        <w:rPr>
          <w:rFonts w:hint="eastAsia"/>
        </w:rPr>
      </w:pPr>
      <w:r>
        <w:rPr>
          <w:rFonts w:hint="eastAsia"/>
          <w:lang w:val="en-US" w:eastAsia="zh-CN"/>
        </w:rPr>
        <w:t xml:space="preserve">                               </w:t>
      </w:r>
      <w:r>
        <w:rPr>
          <w:rFonts w:hint="eastAsia"/>
        </w:rPr>
        <w:t>课程作业安排表</w:t>
      </w:r>
    </w:p>
    <w:tbl>
      <w:tblPr>
        <w:tblStyle w:val="7"/>
        <w:tblW w:w="856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45"/>
        <w:gridCol w:w="2700"/>
        <w:gridCol w:w="18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90" w:type="dxa"/>
            <w:vAlign w:val="center"/>
          </w:tcPr>
          <w:p>
            <w:pPr>
              <w:jc w:val="center"/>
              <w:rPr>
                <w:rFonts w:hint="eastAsia" w:ascii="宋体" w:hAnsi="宋体"/>
                <w:b/>
                <w:sz w:val="24"/>
                <w:szCs w:val="24"/>
              </w:rPr>
            </w:pPr>
            <w:r>
              <w:rPr>
                <w:rFonts w:hint="eastAsia" w:ascii="宋体" w:hAnsi="宋体"/>
                <w:b/>
                <w:sz w:val="24"/>
                <w:szCs w:val="24"/>
              </w:rPr>
              <w:t>序号</w:t>
            </w:r>
          </w:p>
        </w:tc>
        <w:tc>
          <w:tcPr>
            <w:tcW w:w="1545" w:type="dxa"/>
            <w:vAlign w:val="center"/>
          </w:tcPr>
          <w:p>
            <w:pPr>
              <w:jc w:val="center"/>
              <w:rPr>
                <w:rFonts w:hint="eastAsia" w:ascii="宋体" w:hAnsi="宋体"/>
                <w:b/>
                <w:sz w:val="24"/>
                <w:szCs w:val="24"/>
              </w:rPr>
            </w:pPr>
            <w:r>
              <w:rPr>
                <w:rFonts w:hint="eastAsia" w:ascii="宋体" w:hAnsi="宋体"/>
                <w:b/>
                <w:sz w:val="24"/>
                <w:szCs w:val="24"/>
              </w:rPr>
              <w:t>作业形式</w:t>
            </w:r>
          </w:p>
        </w:tc>
        <w:tc>
          <w:tcPr>
            <w:tcW w:w="2700" w:type="dxa"/>
            <w:vAlign w:val="center"/>
          </w:tcPr>
          <w:p>
            <w:pPr>
              <w:jc w:val="center"/>
              <w:rPr>
                <w:rFonts w:hint="eastAsia" w:ascii="宋体" w:hAnsi="宋体"/>
                <w:b/>
                <w:sz w:val="24"/>
                <w:szCs w:val="24"/>
              </w:rPr>
            </w:pPr>
            <w:r>
              <w:rPr>
                <w:rFonts w:hint="eastAsia" w:ascii="宋体" w:hAnsi="宋体"/>
                <w:b/>
                <w:sz w:val="24"/>
                <w:szCs w:val="24"/>
              </w:rPr>
              <w:t>作业内容</w:t>
            </w:r>
          </w:p>
        </w:tc>
        <w:tc>
          <w:tcPr>
            <w:tcW w:w="1845" w:type="dxa"/>
            <w:vAlign w:val="center"/>
          </w:tcPr>
          <w:p>
            <w:pPr>
              <w:jc w:val="center"/>
              <w:rPr>
                <w:rFonts w:hint="eastAsia" w:ascii="宋体" w:hAnsi="宋体"/>
                <w:b/>
                <w:sz w:val="24"/>
                <w:szCs w:val="24"/>
              </w:rPr>
            </w:pPr>
            <w:r>
              <w:rPr>
                <w:rFonts w:hint="eastAsia" w:ascii="宋体" w:hAnsi="宋体"/>
                <w:b/>
                <w:sz w:val="24"/>
                <w:szCs w:val="24"/>
              </w:rPr>
              <w:t>评价方法</w:t>
            </w:r>
          </w:p>
        </w:tc>
        <w:tc>
          <w:tcPr>
            <w:tcW w:w="1485" w:type="dxa"/>
            <w:vAlign w:val="top"/>
          </w:tcPr>
          <w:p>
            <w:pPr>
              <w:jc w:val="center"/>
              <w:rPr>
                <w:rFonts w:hint="eastAsia" w:ascii="宋体" w:hAnsi="宋体"/>
                <w:b/>
                <w:sz w:val="24"/>
                <w:szCs w:val="24"/>
              </w:rPr>
            </w:pPr>
            <w:r>
              <w:rPr>
                <w:rFonts w:hint="eastAsia" w:ascii="宋体" w:hAnsi="宋体"/>
                <w:b/>
                <w:sz w:val="24"/>
                <w:szCs w:val="24"/>
              </w:rPr>
              <w:t>作业成果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作业1</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pStyle w:val="2"/>
              <w:widowControl/>
              <w:autoSpaceDE w:val="0"/>
              <w:autoSpaceDN w:val="0"/>
              <w:adjustRightInd/>
              <w:spacing w:before="156" w:beforeLines="50" w:after="93" w:afterLines="30"/>
              <w:jc w:val="left"/>
              <w:textAlignment w:val="center"/>
              <w:rPr>
                <w:rFonts w:hint="eastAsia" w:ascii="仿宋_GB2312" w:eastAsia="仿宋_GB2312"/>
                <w:iCs/>
                <w:sz w:val="21"/>
                <w:szCs w:val="21"/>
                <w:lang w:eastAsia="zh-CN"/>
              </w:rPr>
            </w:pPr>
            <w:r>
              <w:rPr>
                <w:rFonts w:hint="eastAsia" w:ascii="仿宋_GB2312" w:eastAsia="仿宋_GB2312" w:hAnsiTheme="minorHAnsi" w:cstheme="minorBidi"/>
                <w:b/>
                <w:bCs/>
                <w:kern w:val="2"/>
                <w:sz w:val="21"/>
                <w:szCs w:val="21"/>
                <w:lang w:val="zh-CN" w:eastAsia="zh-CN" w:bidi="ar-SA"/>
              </w:rPr>
              <w:t>个人独资企业法案例</w:t>
            </w:r>
          </w:p>
        </w:tc>
        <w:tc>
          <w:tcPr>
            <w:tcW w:w="1845" w:type="dxa"/>
            <w:vAlign w:val="center"/>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作业2</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pStyle w:val="2"/>
              <w:widowControl/>
              <w:autoSpaceDE w:val="0"/>
              <w:autoSpaceDN w:val="0"/>
              <w:adjustRightInd/>
              <w:spacing w:before="156" w:beforeLines="50" w:after="93" w:afterLines="30"/>
              <w:jc w:val="left"/>
              <w:textAlignment w:val="center"/>
              <w:rPr>
                <w:rFonts w:hint="eastAsia" w:ascii="仿宋_GB2312" w:eastAsia="仿宋_GB2312"/>
                <w:iCs/>
                <w:sz w:val="21"/>
                <w:szCs w:val="21"/>
                <w:lang w:eastAsia="zh-CN"/>
              </w:rPr>
            </w:pPr>
            <w:r>
              <w:rPr>
                <w:rFonts w:hint="eastAsia" w:ascii="仿宋_GB2312" w:eastAsia="仿宋_GB2312"/>
                <w:sz w:val="21"/>
                <w:szCs w:val="21"/>
              </w:rPr>
              <w:t>合伙企业法</w:t>
            </w:r>
            <w:r>
              <w:rPr>
                <w:rFonts w:hint="eastAsia" w:ascii="仿宋_GB2312" w:eastAsia="仿宋_GB2312"/>
                <w:sz w:val="21"/>
                <w:szCs w:val="21"/>
                <w:lang w:eastAsia="zh-CN"/>
              </w:rPr>
              <w:t>案例</w:t>
            </w:r>
          </w:p>
        </w:tc>
        <w:tc>
          <w:tcPr>
            <w:tcW w:w="1845" w:type="dxa"/>
            <w:vAlign w:val="center"/>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pacing w:val="-2"/>
                <w:kern w:val="2"/>
                <w:sz w:val="21"/>
                <w:szCs w:val="21"/>
                <w:lang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pacing w:val="-2"/>
                <w:kern w:val="2"/>
                <w:sz w:val="21"/>
                <w:szCs w:val="21"/>
                <w:lang w:eastAsia="zh-CN"/>
              </w:rPr>
            </w:pP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作业3</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jc w:val="both"/>
              <w:rPr>
                <w:rFonts w:hint="eastAsia" w:ascii="仿宋_GB2312" w:eastAsia="仿宋_GB2312"/>
                <w:iCs/>
                <w:sz w:val="21"/>
                <w:szCs w:val="21"/>
                <w:lang w:eastAsia="zh-CN"/>
              </w:rPr>
            </w:pPr>
            <w:r>
              <w:rPr>
                <w:rFonts w:hint="eastAsia" w:ascii="仿宋_GB2312" w:eastAsia="仿宋_GB2312"/>
                <w:sz w:val="21"/>
                <w:szCs w:val="21"/>
              </w:rPr>
              <w:t>中外合资企</w:t>
            </w:r>
            <w:r>
              <w:rPr>
                <w:rFonts w:hint="eastAsia" w:ascii="仿宋_GB2312" w:eastAsia="仿宋_GB2312"/>
                <w:b/>
                <w:bCs/>
                <w:sz w:val="21"/>
                <w:szCs w:val="21"/>
              </w:rPr>
              <w:t>业案</w:t>
            </w:r>
            <w:r>
              <w:rPr>
                <w:rFonts w:hint="eastAsia" w:ascii="仿宋_GB2312" w:eastAsia="仿宋_GB2312"/>
                <w:sz w:val="21"/>
                <w:szCs w:val="21"/>
              </w:rPr>
              <w:t>例分析</w:t>
            </w:r>
          </w:p>
        </w:tc>
        <w:tc>
          <w:tcPr>
            <w:tcW w:w="1845" w:type="dxa"/>
            <w:vAlign w:val="center"/>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ascii="仿宋_GB2312" w:eastAsia="仿宋_GB2312"/>
                <w:iCs/>
                <w:sz w:val="21"/>
                <w:szCs w:val="21"/>
                <w:lang w:eastAsia="zh-CN"/>
              </w:rPr>
              <w:t>4</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widowControl/>
              <w:wordWrap w:val="0"/>
              <w:snapToGrid w:val="0"/>
              <w:spacing w:line="360" w:lineRule="auto"/>
              <w:jc w:val="both"/>
              <w:outlineLvl w:val="0"/>
              <w:rPr>
                <w:rFonts w:hint="eastAsia" w:ascii="仿宋_GB2312" w:eastAsia="仿宋_GB2312"/>
                <w:sz w:val="21"/>
                <w:szCs w:val="21"/>
              </w:rPr>
            </w:pPr>
          </w:p>
          <w:p>
            <w:pPr>
              <w:widowControl/>
              <w:wordWrap w:val="0"/>
              <w:snapToGrid w:val="0"/>
              <w:spacing w:line="360" w:lineRule="auto"/>
              <w:jc w:val="both"/>
              <w:outlineLvl w:val="0"/>
              <w:rPr>
                <w:rFonts w:ascii="宋体" w:hAnsi="宋体" w:cs="宋体"/>
                <w:b/>
                <w:color w:val="000000"/>
                <w:kern w:val="0"/>
                <w:sz w:val="21"/>
                <w:szCs w:val="21"/>
              </w:rPr>
            </w:pPr>
            <w:r>
              <w:rPr>
                <w:rFonts w:hint="eastAsia" w:ascii="仿宋_GB2312" w:eastAsia="仿宋_GB2312"/>
                <w:sz w:val="21"/>
                <w:szCs w:val="21"/>
              </w:rPr>
              <w:t>公司法案例（</w:t>
            </w:r>
            <w:r>
              <w:rPr>
                <w:rFonts w:hint="eastAsia" w:ascii="仿宋_GB2312" w:eastAsia="仿宋_GB2312"/>
                <w:sz w:val="21"/>
                <w:szCs w:val="21"/>
                <w:lang w:val="en-US" w:eastAsia="zh-CN"/>
              </w:rPr>
              <w:t>1</w:t>
            </w:r>
            <w:r>
              <w:rPr>
                <w:rFonts w:hint="eastAsia" w:ascii="宋体" w:hAnsi="宋体" w:cs="宋体"/>
                <w:b/>
                <w:color w:val="000000"/>
                <w:kern w:val="0"/>
                <w:sz w:val="21"/>
                <w:szCs w:val="21"/>
              </w:rPr>
              <w:t>）</w:t>
            </w:r>
          </w:p>
          <w:p>
            <w:pPr>
              <w:jc w:val="both"/>
              <w:rPr>
                <w:rFonts w:hint="eastAsia" w:ascii="仿宋_GB2312" w:eastAsia="仿宋_GB2312"/>
                <w:iCs/>
                <w:sz w:val="21"/>
                <w:szCs w:val="21"/>
                <w:lang w:eastAsia="zh-CN"/>
              </w:rPr>
            </w:pP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US" w:eastAsia="zh-CN"/>
              </w:rPr>
              <w:t xml:space="preserve">   </w:t>
            </w:r>
            <w:r>
              <w:rPr>
                <w:rFonts w:hint="eastAsia" w:ascii="仿宋_GB2312" w:hAnsi="华文楷体" w:eastAsia="仿宋_GB2312"/>
                <w:bCs/>
                <w:sz w:val="21"/>
                <w:szCs w:val="21"/>
                <w:lang w:val="en-GB"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p>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ascii="仿宋_GB2312" w:eastAsia="仿宋_GB2312"/>
                <w:iCs/>
                <w:sz w:val="21"/>
                <w:szCs w:val="21"/>
                <w:lang w:eastAsia="zh-CN"/>
              </w:rPr>
              <w:t>5</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widowControl/>
              <w:wordWrap w:val="0"/>
              <w:snapToGrid w:val="0"/>
              <w:spacing w:line="360" w:lineRule="auto"/>
              <w:jc w:val="both"/>
              <w:outlineLvl w:val="0"/>
              <w:rPr>
                <w:rFonts w:hint="eastAsia" w:ascii="仿宋_GB2312" w:eastAsia="仿宋_GB2312"/>
                <w:sz w:val="21"/>
                <w:szCs w:val="21"/>
              </w:rPr>
            </w:pPr>
          </w:p>
          <w:p>
            <w:pPr>
              <w:widowControl/>
              <w:wordWrap w:val="0"/>
              <w:snapToGrid w:val="0"/>
              <w:spacing w:line="360" w:lineRule="auto"/>
              <w:jc w:val="both"/>
              <w:outlineLvl w:val="0"/>
              <w:rPr>
                <w:rFonts w:hint="eastAsia" w:ascii="仿宋_GB2312" w:eastAsia="仿宋_GB2312"/>
                <w:sz w:val="21"/>
                <w:szCs w:val="21"/>
              </w:rPr>
            </w:pPr>
            <w:r>
              <w:rPr>
                <w:rFonts w:hint="eastAsia" w:ascii="仿宋_GB2312" w:eastAsia="仿宋_GB2312"/>
                <w:sz w:val="21"/>
                <w:szCs w:val="21"/>
              </w:rPr>
              <w:t>公司法案例（</w:t>
            </w:r>
            <w:r>
              <w:rPr>
                <w:rFonts w:hint="eastAsia" w:ascii="仿宋_GB2312" w:eastAsia="仿宋_GB2312"/>
                <w:sz w:val="21"/>
                <w:szCs w:val="21"/>
                <w:lang w:val="en-US" w:eastAsia="zh-CN"/>
              </w:rPr>
              <w:t>2</w:t>
            </w:r>
            <w:r>
              <w:rPr>
                <w:rFonts w:hint="eastAsia" w:ascii="仿宋_GB2312" w:eastAsia="仿宋_GB2312"/>
                <w:sz w:val="21"/>
                <w:szCs w:val="21"/>
              </w:rPr>
              <w:t>）</w:t>
            </w:r>
          </w:p>
          <w:p>
            <w:pPr>
              <w:widowControl/>
              <w:wordWrap w:val="0"/>
              <w:snapToGrid w:val="0"/>
              <w:spacing w:line="360" w:lineRule="auto"/>
              <w:jc w:val="both"/>
              <w:outlineLvl w:val="0"/>
              <w:rPr>
                <w:rFonts w:hint="eastAsia" w:ascii="仿宋_GB2312" w:eastAsia="仿宋_GB2312"/>
                <w:iCs/>
                <w:sz w:val="21"/>
                <w:szCs w:val="21"/>
                <w:lang w:eastAsia="zh-CN"/>
              </w:rPr>
            </w:pPr>
          </w:p>
        </w:tc>
        <w:tc>
          <w:tcPr>
            <w:tcW w:w="1845" w:type="dxa"/>
            <w:vAlign w:val="center"/>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p>
          <w:p>
            <w:pPr>
              <w:pStyle w:val="2"/>
              <w:widowControl/>
              <w:tabs>
                <w:tab w:val="left" w:pos="720"/>
              </w:tabs>
              <w:autoSpaceDE w:val="0"/>
              <w:autoSpaceDN w:val="0"/>
              <w:adjustRightInd/>
              <w:spacing w:before="93" w:beforeLines="30" w:after="93" w:afterLines="30"/>
              <w:jc w:val="center"/>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hint="eastAsia" w:ascii="仿宋_GB2312" w:eastAsia="仿宋_GB2312"/>
                <w:iCs/>
                <w:sz w:val="21"/>
                <w:szCs w:val="21"/>
                <w:lang w:val="en-US" w:eastAsia="zh-CN"/>
              </w:rPr>
              <w:t>6</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pStyle w:val="2"/>
              <w:widowControl/>
              <w:tabs>
                <w:tab w:val="left" w:pos="720"/>
              </w:tabs>
              <w:autoSpaceDE w:val="0"/>
              <w:autoSpaceDN w:val="0"/>
              <w:adjustRightInd/>
              <w:spacing w:before="93" w:beforeLines="30" w:after="93" w:afterLines="30"/>
              <w:textAlignment w:val="center"/>
              <w:rPr>
                <w:rFonts w:hint="eastAsia" w:ascii="仿宋_GB2312" w:eastAsia="仿宋_GB2312"/>
                <w:iCs/>
                <w:sz w:val="21"/>
                <w:szCs w:val="21"/>
                <w:lang w:eastAsia="zh-CN"/>
              </w:rPr>
            </w:pPr>
            <w:r>
              <w:rPr>
                <w:rFonts w:hint="eastAsia" w:ascii="仿宋_GB2312" w:eastAsia="仿宋_GB2312"/>
                <w:sz w:val="21"/>
                <w:szCs w:val="21"/>
                <w:lang w:eastAsia="zh-CN"/>
              </w:rPr>
              <w:t>破产法案例</w:t>
            </w: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US" w:eastAsia="zh-CN"/>
              </w:rPr>
              <w:t xml:space="preserve">   </w:t>
            </w: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hint="eastAsia" w:ascii="仿宋_GB2312" w:eastAsia="仿宋_GB2312"/>
                <w:iCs/>
                <w:sz w:val="21"/>
                <w:szCs w:val="21"/>
                <w:lang w:val="en-US" w:eastAsia="zh-CN"/>
              </w:rPr>
              <w:t>7</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rPr>
                <w:rFonts w:hint="eastAsia" w:ascii="仿宋_GB2312" w:eastAsia="仿宋_GB2312"/>
                <w:iCs/>
                <w:sz w:val="21"/>
                <w:szCs w:val="21"/>
                <w:lang w:eastAsia="zh-CN"/>
              </w:rPr>
            </w:pPr>
            <w:r>
              <w:rPr>
                <w:rFonts w:hint="eastAsia" w:ascii="仿宋_GB2312" w:eastAsia="仿宋_GB2312"/>
                <w:sz w:val="21"/>
                <w:szCs w:val="21"/>
              </w:rPr>
              <w:t>合同法案例分析</w:t>
            </w:r>
            <w:r>
              <w:rPr>
                <w:rFonts w:hint="eastAsia" w:ascii="仿宋_GB2312" w:eastAsia="仿宋_GB2312"/>
                <w:sz w:val="21"/>
                <w:szCs w:val="21"/>
                <w:lang w:eastAsia="zh-CN"/>
              </w:rPr>
              <w:t>（</w:t>
            </w:r>
            <w:r>
              <w:rPr>
                <w:rFonts w:hint="eastAsia" w:ascii="仿宋_GB2312" w:eastAsia="仿宋_GB2312"/>
                <w:sz w:val="21"/>
                <w:szCs w:val="21"/>
                <w:lang w:val="en-US" w:eastAsia="zh-CN"/>
              </w:rPr>
              <w:t>1</w:t>
            </w:r>
            <w:r>
              <w:rPr>
                <w:rFonts w:hint="eastAsia" w:ascii="仿宋_GB2312" w:eastAsia="仿宋_GB2312"/>
                <w:sz w:val="21"/>
                <w:szCs w:val="21"/>
                <w:lang w:eastAsia="zh-CN"/>
              </w:rPr>
              <w:t>）</w:t>
            </w: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US" w:eastAsia="zh-CN"/>
              </w:rPr>
              <w:t xml:space="preserve">   </w:t>
            </w: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hint="eastAsia" w:ascii="仿宋_GB2312" w:eastAsia="仿宋_GB2312"/>
                <w:iCs/>
                <w:sz w:val="21"/>
                <w:szCs w:val="21"/>
                <w:lang w:val="en-US" w:eastAsia="zh-CN"/>
              </w:rPr>
              <w:t>8</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rPr>
                <w:rFonts w:hint="eastAsia" w:ascii="仿宋_GB2312" w:eastAsia="仿宋_GB2312"/>
                <w:iCs/>
                <w:sz w:val="21"/>
                <w:szCs w:val="21"/>
                <w:lang w:eastAsia="zh-CN"/>
              </w:rPr>
            </w:pPr>
            <w:r>
              <w:rPr>
                <w:rFonts w:hint="eastAsia" w:ascii="仿宋_GB2312" w:eastAsia="仿宋_GB2312"/>
                <w:sz w:val="21"/>
                <w:szCs w:val="21"/>
              </w:rPr>
              <w:t>合同法案例分析</w:t>
            </w:r>
            <w:r>
              <w:rPr>
                <w:rFonts w:hint="eastAsia" w:ascii="仿宋_GB2312" w:eastAsia="仿宋_GB2312"/>
                <w:sz w:val="21"/>
                <w:szCs w:val="21"/>
                <w:lang w:eastAsia="zh-CN"/>
              </w:rPr>
              <w:t>（</w:t>
            </w:r>
            <w:r>
              <w:rPr>
                <w:rFonts w:hint="eastAsia" w:ascii="仿宋_GB2312" w:eastAsia="仿宋_GB2312"/>
                <w:sz w:val="21"/>
                <w:szCs w:val="21"/>
                <w:lang w:val="en-US" w:eastAsia="zh-CN"/>
              </w:rPr>
              <w:t>2</w:t>
            </w:r>
            <w:r>
              <w:rPr>
                <w:rFonts w:hint="eastAsia" w:ascii="仿宋_GB2312" w:eastAsia="仿宋_GB2312"/>
                <w:sz w:val="21"/>
                <w:szCs w:val="21"/>
                <w:lang w:eastAsia="zh-CN"/>
              </w:rPr>
              <w:t>）</w:t>
            </w: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US" w:eastAsia="zh-CN"/>
              </w:rPr>
              <w:t xml:space="preserve">   </w:t>
            </w: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hint="eastAsia" w:ascii="仿宋_GB2312" w:eastAsia="仿宋_GB2312"/>
                <w:iCs/>
                <w:sz w:val="21"/>
                <w:szCs w:val="21"/>
                <w:lang w:val="en-US" w:eastAsia="zh-CN"/>
              </w:rPr>
              <w:t>9</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rPr>
              <w:t>实</w:t>
            </w:r>
            <w:r>
              <w:rPr>
                <w:rFonts w:hint="eastAsia" w:ascii="仿宋_GB2312" w:eastAsia="仿宋_GB2312"/>
                <w:sz w:val="21"/>
                <w:szCs w:val="21"/>
                <w:lang w:eastAsia="zh-CN"/>
              </w:rPr>
              <w:t>训</w:t>
            </w:r>
            <w:r>
              <w:rPr>
                <w:rFonts w:hint="eastAsia" w:ascii="仿宋_GB2312" w:eastAsia="仿宋_GB2312"/>
                <w:sz w:val="21"/>
                <w:szCs w:val="21"/>
              </w:rPr>
              <w:t>报告</w:t>
            </w:r>
          </w:p>
        </w:tc>
        <w:tc>
          <w:tcPr>
            <w:tcW w:w="2700" w:type="dxa"/>
            <w:vAlign w:val="center"/>
          </w:tcPr>
          <w:p>
            <w:pPr>
              <w:rPr>
                <w:rFonts w:hint="eastAsia" w:ascii="仿宋_GB2312" w:eastAsia="仿宋_GB2312"/>
                <w:iCs/>
                <w:sz w:val="21"/>
                <w:szCs w:val="21"/>
                <w:lang w:eastAsia="zh-CN"/>
              </w:rPr>
            </w:pPr>
            <w:r>
              <w:rPr>
                <w:rFonts w:hint="eastAsia" w:ascii="仿宋_GB2312" w:eastAsia="仿宋_GB2312"/>
                <w:sz w:val="21"/>
                <w:szCs w:val="21"/>
              </w:rPr>
              <w:t>合同的制定</w:t>
            </w: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z w:val="21"/>
                <w:szCs w:val="21"/>
                <w:lang w:val="en-US" w:eastAsia="zh-CN"/>
              </w:rPr>
              <w:t xml:space="preserve">   </w:t>
            </w:r>
            <w:r>
              <w:rPr>
                <w:rFonts w:hint="eastAsia" w:ascii="仿宋_GB2312" w:hAnsi="华文楷体" w:eastAsia="仿宋_GB2312"/>
                <w:bCs/>
                <w:sz w:val="21"/>
                <w:szCs w:val="21"/>
                <w:lang w:val="en-GB"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0" w:type="dxa"/>
            <w:vAlign w:val="center"/>
          </w:tcPr>
          <w:p>
            <w:pPr>
              <w:pStyle w:val="2"/>
              <w:widowControl/>
              <w:tabs>
                <w:tab w:val="left" w:pos="720"/>
              </w:tabs>
              <w:autoSpaceDE w:val="0"/>
              <w:autoSpaceDN w:val="0"/>
              <w:adjustRightInd/>
              <w:spacing w:before="156" w:beforeLines="50" w:after="93" w:afterLines="30"/>
              <w:jc w:val="both"/>
              <w:textAlignment w:val="center"/>
              <w:rPr>
                <w:rFonts w:hint="eastAsia" w:ascii="仿宋_GB2312" w:eastAsia="仿宋_GB2312"/>
                <w:iCs/>
                <w:sz w:val="21"/>
                <w:szCs w:val="21"/>
                <w:lang w:eastAsia="zh-CN"/>
              </w:rPr>
            </w:pPr>
            <w:r>
              <w:rPr>
                <w:rFonts w:hint="eastAsia" w:ascii="仿宋_GB2312" w:eastAsia="仿宋_GB2312"/>
                <w:iCs/>
                <w:sz w:val="21"/>
                <w:szCs w:val="21"/>
                <w:lang w:eastAsia="zh-CN"/>
              </w:rPr>
              <w:t>作业</w:t>
            </w:r>
            <w:r>
              <w:rPr>
                <w:rFonts w:hint="eastAsia" w:ascii="仿宋_GB2312" w:eastAsia="仿宋_GB2312"/>
                <w:iCs/>
                <w:sz w:val="21"/>
                <w:szCs w:val="21"/>
                <w:lang w:val="en-US" w:eastAsia="zh-CN"/>
              </w:rPr>
              <w:t>10</w:t>
            </w:r>
          </w:p>
        </w:tc>
        <w:tc>
          <w:tcPr>
            <w:tcW w:w="1545" w:type="dxa"/>
            <w:vAlign w:val="center"/>
          </w:tcPr>
          <w:p>
            <w:pPr>
              <w:pStyle w:val="2"/>
              <w:widowControl/>
              <w:tabs>
                <w:tab w:val="left" w:pos="720"/>
              </w:tabs>
              <w:autoSpaceDE w:val="0"/>
              <w:autoSpaceDN w:val="0"/>
              <w:adjustRightInd/>
              <w:spacing w:before="156" w:beforeLines="50" w:after="93" w:afterLines="30"/>
              <w:jc w:val="center"/>
              <w:textAlignment w:val="center"/>
              <w:rPr>
                <w:rFonts w:hint="eastAsia" w:ascii="仿宋_GB2312" w:eastAsia="仿宋_GB2312"/>
                <w:sz w:val="21"/>
                <w:szCs w:val="21"/>
                <w:lang w:eastAsia="zh-CN"/>
              </w:rPr>
            </w:pPr>
            <w:r>
              <w:rPr>
                <w:rFonts w:hint="eastAsia" w:ascii="仿宋_GB2312" w:eastAsia="仿宋_GB2312"/>
                <w:sz w:val="21"/>
                <w:szCs w:val="21"/>
                <w:lang w:eastAsia="zh-CN"/>
              </w:rPr>
              <w:t>综合习题</w:t>
            </w:r>
          </w:p>
        </w:tc>
        <w:tc>
          <w:tcPr>
            <w:tcW w:w="2700" w:type="dxa"/>
            <w:vAlign w:val="center"/>
          </w:tcPr>
          <w:p>
            <w:pPr>
              <w:ind w:firstLine="527" w:firstLineChars="250"/>
              <w:jc w:val="center"/>
              <w:rPr>
                <w:rFonts w:hint="eastAsia"/>
                <w:sz w:val="21"/>
                <w:szCs w:val="21"/>
              </w:rPr>
            </w:pPr>
          </w:p>
          <w:p>
            <w:pPr>
              <w:jc w:val="both"/>
              <w:rPr>
                <w:rFonts w:hint="eastAsia"/>
                <w:sz w:val="21"/>
                <w:szCs w:val="21"/>
              </w:rPr>
            </w:pPr>
            <w:r>
              <w:rPr>
                <w:rFonts w:hint="eastAsia"/>
                <w:sz w:val="21"/>
                <w:szCs w:val="21"/>
              </w:rPr>
              <w:t>经济法模拟试题</w:t>
            </w:r>
          </w:p>
          <w:p>
            <w:pPr>
              <w:rPr>
                <w:rFonts w:hint="eastAsia" w:ascii="仿宋_GB2312" w:eastAsia="仿宋_GB2312"/>
                <w:iCs/>
                <w:sz w:val="21"/>
                <w:szCs w:val="21"/>
                <w:lang w:eastAsia="zh-CN"/>
              </w:rPr>
            </w:pPr>
          </w:p>
        </w:tc>
        <w:tc>
          <w:tcPr>
            <w:tcW w:w="1845" w:type="dxa"/>
            <w:vAlign w:val="center"/>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r>
              <w:rPr>
                <w:rFonts w:hint="eastAsia" w:ascii="仿宋_GB2312" w:hAnsi="华文楷体" w:eastAsia="仿宋_GB2312"/>
                <w:bCs/>
                <w:spacing w:val="-2"/>
                <w:kern w:val="2"/>
                <w:sz w:val="21"/>
                <w:szCs w:val="21"/>
                <w:lang w:eastAsia="zh-CN"/>
              </w:rPr>
              <w:t>教师批改</w:t>
            </w:r>
          </w:p>
        </w:tc>
        <w:tc>
          <w:tcPr>
            <w:tcW w:w="1485" w:type="dxa"/>
            <w:vAlign w:val="top"/>
          </w:tcPr>
          <w:p>
            <w:pPr>
              <w:pStyle w:val="2"/>
              <w:widowControl/>
              <w:tabs>
                <w:tab w:val="left" w:pos="720"/>
              </w:tabs>
              <w:autoSpaceDE w:val="0"/>
              <w:autoSpaceDN w:val="0"/>
              <w:adjustRightInd/>
              <w:spacing w:before="93" w:beforeLines="30" w:after="93" w:afterLines="30"/>
              <w:jc w:val="both"/>
              <w:textAlignment w:val="center"/>
              <w:rPr>
                <w:rFonts w:hint="eastAsia" w:ascii="仿宋_GB2312" w:hAnsi="华文楷体" w:eastAsia="仿宋_GB2312"/>
                <w:bCs/>
                <w:sz w:val="21"/>
                <w:szCs w:val="21"/>
                <w:lang w:val="en-GB" w:eastAsia="zh-CN"/>
              </w:rPr>
            </w:pPr>
          </w:p>
        </w:tc>
      </w:tr>
    </w:tbl>
    <w:p>
      <w:pPr>
        <w:spacing w:line="312" w:lineRule="auto"/>
        <w:ind w:firstLine="422" w:firstLineChars="200"/>
        <w:rPr>
          <w:rFonts w:hint="eastAsia" w:ascii="宋体" w:hAnsi="宋体"/>
          <w:b/>
          <w:bCs/>
        </w:rPr>
      </w:pPr>
    </w:p>
    <w:p>
      <w:pPr>
        <w:spacing w:line="312" w:lineRule="auto"/>
        <w:ind w:firstLine="422" w:firstLineChars="200"/>
        <w:rPr>
          <w:rFonts w:hint="eastAsia" w:ascii="宋体" w:hAnsi="宋体"/>
          <w:b/>
          <w:bCs/>
        </w:rPr>
      </w:pPr>
      <w:r>
        <w:rPr>
          <w:rFonts w:hint="eastAsia" w:ascii="宋体" w:hAnsi="宋体"/>
          <w:b/>
          <w:bCs/>
        </w:rPr>
        <w:t>4.4  教学评价（课程考核）</w:t>
      </w:r>
    </w:p>
    <w:p>
      <w:pPr>
        <w:spacing w:line="312" w:lineRule="auto"/>
        <w:ind w:firstLine="422" w:firstLineChars="200"/>
        <w:rPr>
          <w:rFonts w:hint="eastAsia" w:ascii="宋体" w:hAnsi="宋体"/>
          <w:b/>
          <w:bCs/>
        </w:rPr>
      </w:pPr>
    </w:p>
    <w:p>
      <w:pPr>
        <w:numPr>
          <w:ilvl w:val="0"/>
          <w:numId w:val="0"/>
        </w:numPr>
        <w:rPr>
          <w:rFonts w:hint="eastAsia"/>
        </w:rPr>
      </w:pPr>
      <w:r>
        <w:rPr>
          <w:rFonts w:hint="eastAsia"/>
        </w:rPr>
        <w:t xml:space="preserve">1、期末考核评价及方式   </w:t>
      </w:r>
    </w:p>
    <w:p>
      <w:pPr>
        <w:numPr>
          <w:ilvl w:val="0"/>
          <w:numId w:val="0"/>
        </w:numPr>
        <w:rPr>
          <w:rFonts w:hint="eastAsia"/>
        </w:rPr>
      </w:pPr>
      <w:r>
        <w:rPr>
          <w:rFonts w:hint="eastAsia"/>
        </w:rPr>
        <w:t xml:space="preserve">  主要遵循以核心能力考核为核心，以形成性考核为主的课程评价指导思想。期末以闭卷笔试结合平时成绩的方式来进行，</w:t>
      </w:r>
      <w:r>
        <w:rPr>
          <w:rFonts w:hint="eastAsia"/>
          <w:lang w:eastAsia="zh-CN"/>
        </w:rPr>
        <w:t>开</w:t>
      </w:r>
      <w:r>
        <w:rPr>
          <w:rFonts w:hint="eastAsia"/>
        </w:rPr>
        <w:t>卷笔试成绩占到</w:t>
      </w:r>
      <w:r>
        <w:rPr>
          <w:rFonts w:hint="eastAsia"/>
          <w:lang w:val="en-US" w:eastAsia="zh-CN"/>
        </w:rPr>
        <w:t>5</w:t>
      </w:r>
      <w:r>
        <w:rPr>
          <w:rFonts w:hint="eastAsia"/>
        </w:rPr>
        <w:t>0%，</w:t>
      </w:r>
      <w:r>
        <w:rPr>
          <w:rFonts w:hint="eastAsia"/>
          <w:lang w:eastAsia="zh-CN"/>
        </w:rPr>
        <w:t>实训报告成绩占</w:t>
      </w:r>
      <w:r>
        <w:rPr>
          <w:rFonts w:hint="eastAsia"/>
          <w:lang w:val="en-US" w:eastAsia="zh-CN"/>
        </w:rPr>
        <w:t>30%，</w:t>
      </w:r>
      <w:r>
        <w:rPr>
          <w:rFonts w:hint="eastAsia"/>
        </w:rPr>
        <w:t>平时成绩占到</w:t>
      </w:r>
      <w:r>
        <w:rPr>
          <w:rFonts w:hint="eastAsia"/>
          <w:lang w:val="en-US" w:eastAsia="zh-CN"/>
        </w:rPr>
        <w:t>2</w:t>
      </w:r>
      <w:r>
        <w:rPr>
          <w:rFonts w:hint="eastAsia"/>
        </w:rPr>
        <w:t xml:space="preserve">0%。期末试卷主要以单项选则题、多项选择题、判断题、案例分析题、综合题等突出实际操作能力的题型为主。平时成绩主要以作业、课堂提问、训练活动和阶段性测试为主。 </w:t>
      </w:r>
    </w:p>
    <w:p>
      <w:pPr>
        <w:numPr>
          <w:ilvl w:val="0"/>
          <w:numId w:val="0"/>
        </w:numPr>
        <w:rPr>
          <w:rFonts w:hint="eastAsia"/>
        </w:rPr>
      </w:pPr>
      <w:r>
        <w:rPr>
          <w:rFonts w:hint="eastAsia"/>
        </w:rPr>
        <w:t xml:space="preserve"> 2、教学过程评价 </w:t>
      </w:r>
    </w:p>
    <w:p>
      <w:pPr>
        <w:numPr>
          <w:ilvl w:val="0"/>
          <w:numId w:val="0"/>
        </w:numPr>
        <w:rPr>
          <w:rFonts w:hint="eastAsia"/>
        </w:rPr>
      </w:pPr>
      <w:r>
        <w:rPr>
          <w:rFonts w:hint="eastAsia"/>
        </w:rPr>
        <w:t xml:space="preserve"> （1）教学过程评价的标准应体现任务引领型课程的特征，体现理论与实践、操作的统一，突出过程评价与阶段（以工作任务模块为阶段）评价，结合课堂提问、训练活动、阶段测验等进行综合评价。  </w:t>
      </w:r>
    </w:p>
    <w:p>
      <w:pPr>
        <w:numPr>
          <w:ilvl w:val="0"/>
          <w:numId w:val="4"/>
        </w:numPr>
        <w:rPr>
          <w:rFonts w:hint="eastAsia"/>
        </w:rPr>
      </w:pPr>
      <w:r>
        <w:rPr>
          <w:rFonts w:hint="eastAsia"/>
        </w:rPr>
        <w:t xml:space="preserve">强调目标与评价和理论与实践目标一体化评价，教学过程评价的对象包括学生知识的理解并应用、实践操作能力、学习态度和基本职业素质等情况，引导学生在理解的基础上进行记忆，对所要达到的目标完成情况进行评价。  </w:t>
      </w:r>
    </w:p>
    <w:p>
      <w:pPr>
        <w:numPr>
          <w:ilvl w:val="0"/>
          <w:numId w:val="0"/>
        </w:numPr>
        <w:rPr>
          <w:rFonts w:hint="eastAsia"/>
        </w:rPr>
      </w:pPr>
      <w:r>
        <w:rPr>
          <w:rFonts w:hint="eastAsia"/>
        </w:rPr>
        <w:t>（3）教学过程评价是注重学生动手能力与分析、解决问题的能力，对在学习和应用上有创新的学生应在评定时给予鼓励。</w:t>
      </w:r>
    </w:p>
    <w:p>
      <w:pPr>
        <w:spacing w:line="312" w:lineRule="auto"/>
        <w:ind w:firstLine="422" w:firstLineChars="200"/>
        <w:rPr>
          <w:rFonts w:hint="eastAsia"/>
          <w:lang w:val="en-US" w:eastAsia="zh-CN"/>
        </w:rPr>
      </w:pPr>
      <w:r>
        <w:rPr>
          <w:rFonts w:hint="eastAsia"/>
          <w:lang w:val="en-US" w:eastAsia="zh-CN"/>
        </w:rPr>
        <w:t>3、课程成绩形成方式</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序号</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任务模块</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评价目标</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评价方式</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经济法基础理论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1理论知识的记忆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课堂提问和训练活动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公司法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应用理论知识解决实际问题，着重于实际 操作能力。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3  企业法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应用理论知识解决实际问题，着重于实际操作能力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破产法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应用理论知识解决实际问题，着重于实际操作能力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5  合同法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应用理论知识解决实际问题，着重于实际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7  证券法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应用理论知识解决实际问题，着重于实际操作能力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6  担保法    </w:t>
            </w:r>
          </w:p>
        </w:tc>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应用理论知识解决实际问题，着重于实际操作能力 </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 案例分析、训练活动、阶段测验</w:t>
            </w:r>
          </w:p>
        </w:tc>
        <w:tc>
          <w:tcPr>
            <w:tcW w:w="1705" w:type="dxa"/>
          </w:tcPr>
          <w:p>
            <w:pPr>
              <w:spacing w:line="312" w:lineRule="auto"/>
              <w:rPr>
                <w:rFonts w:hint="eastAsia" w:ascii="宋体" w:hAnsi="宋体" w:eastAsia="宋体" w:cs="宋体"/>
                <w:color w:val="000000"/>
                <w:kern w:val="0"/>
                <w:sz w:val="21"/>
                <w:szCs w:val="21"/>
                <w:vertAlign w:val="baseline"/>
                <w:lang w:val="en-US" w:eastAsia="zh-CN" w:bidi="ar"/>
              </w:rPr>
            </w:pPr>
            <w:r>
              <w:rPr>
                <w:rFonts w:hint="eastAsia" w:ascii="宋体" w:hAnsi="宋体"/>
                <w:sz w:val="22"/>
                <w:lang w:val="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12" w:lineRule="auto"/>
              <w:rPr>
                <w:rFonts w:hint="eastAsia" w:ascii="宋体" w:hAnsi="宋体" w:eastAsia="宋体" w:cs="宋体"/>
                <w:color w:val="000000"/>
                <w:kern w:val="0"/>
                <w:sz w:val="21"/>
                <w:szCs w:val="21"/>
                <w:vertAlign w:val="baseline"/>
                <w:lang w:val="en-US" w:eastAsia="zh-CN" w:bidi="ar"/>
              </w:rPr>
            </w:pPr>
          </w:p>
        </w:tc>
        <w:tc>
          <w:tcPr>
            <w:tcW w:w="1704" w:type="dxa"/>
          </w:tcPr>
          <w:p>
            <w:pPr>
              <w:spacing w:line="312" w:lineRule="auto"/>
              <w:rPr>
                <w:rFonts w:hint="eastAsia" w:ascii="宋体" w:hAnsi="宋体"/>
                <w:sz w:val="22"/>
                <w:lang w:val="zh-CN"/>
              </w:rPr>
            </w:pPr>
            <w:r>
              <w:rPr>
                <w:rFonts w:hint="eastAsia" w:ascii="宋体" w:hAnsi="宋体"/>
                <w:sz w:val="22"/>
                <w:lang w:val="zh-CN"/>
              </w:rPr>
              <w:t xml:space="preserve"> 金融法   </w:t>
            </w:r>
          </w:p>
        </w:tc>
        <w:tc>
          <w:tcPr>
            <w:tcW w:w="1704" w:type="dxa"/>
          </w:tcPr>
          <w:p>
            <w:pPr>
              <w:spacing w:line="312" w:lineRule="auto"/>
              <w:rPr>
                <w:rFonts w:hint="eastAsia" w:ascii="宋体" w:hAnsi="宋体"/>
                <w:sz w:val="22"/>
                <w:lang w:val="zh-CN"/>
              </w:rPr>
            </w:pPr>
            <w:r>
              <w:rPr>
                <w:rFonts w:hint="eastAsia" w:ascii="宋体" w:hAnsi="宋体"/>
                <w:sz w:val="22"/>
                <w:lang w:val="zh-CN"/>
              </w:rPr>
              <w:t>应用理论知识解决实际问题，着重于实 际操作能力</w:t>
            </w:r>
          </w:p>
        </w:tc>
        <w:tc>
          <w:tcPr>
            <w:tcW w:w="1705" w:type="dxa"/>
          </w:tcPr>
          <w:p>
            <w:pPr>
              <w:spacing w:line="312" w:lineRule="auto"/>
              <w:rPr>
                <w:rFonts w:hint="eastAsia" w:ascii="宋体" w:hAnsi="宋体"/>
                <w:sz w:val="22"/>
                <w:lang w:val="zh-CN"/>
              </w:rPr>
            </w:pPr>
            <w:r>
              <w:rPr>
                <w:rFonts w:hint="eastAsia" w:ascii="宋体" w:hAnsi="宋体"/>
                <w:sz w:val="22"/>
                <w:lang w:val="zh-CN"/>
              </w:rPr>
              <w:t xml:space="preserve">  案例分析、训练活动、阶段测验</w:t>
            </w:r>
          </w:p>
        </w:tc>
        <w:tc>
          <w:tcPr>
            <w:tcW w:w="1705" w:type="dxa"/>
          </w:tcPr>
          <w:p>
            <w:pPr>
              <w:spacing w:line="312" w:lineRule="auto"/>
              <w:rPr>
                <w:rFonts w:hint="eastAsia" w:ascii="宋体" w:hAnsi="宋体"/>
                <w:sz w:val="22"/>
                <w:lang w:val="zh-CN"/>
              </w:rPr>
            </w:pPr>
            <w:r>
              <w:rPr>
                <w:rFonts w:hint="eastAsia" w:ascii="宋体" w:hAnsi="宋体"/>
                <w:sz w:val="22"/>
                <w:lang w:val="zh-CN"/>
              </w:rPr>
              <w:t xml:space="preserve"> 10%</w:t>
            </w:r>
          </w:p>
        </w:tc>
      </w:tr>
    </w:tbl>
    <w:p>
      <w:pPr>
        <w:spacing w:line="312" w:lineRule="auto"/>
        <w:ind w:firstLine="422" w:firstLineChars="200"/>
        <w:rPr>
          <w:rFonts w:hint="eastAsia" w:ascii="宋体" w:hAnsi="宋体" w:eastAsia="宋体" w:cs="宋体"/>
          <w:color w:val="000000"/>
          <w:kern w:val="0"/>
          <w:sz w:val="21"/>
          <w:szCs w:val="21"/>
          <w:lang w:val="en-US" w:eastAsia="zh-CN" w:bidi="ar"/>
        </w:rPr>
      </w:pPr>
    </w:p>
    <w:p>
      <w:pPr>
        <w:spacing w:line="312" w:lineRule="auto"/>
        <w:ind w:firstLine="422" w:firstLineChars="200"/>
        <w:rPr>
          <w:rFonts w:hint="eastAsia" w:ascii="宋体" w:hAnsi="宋体"/>
          <w:b/>
          <w:bCs/>
        </w:rPr>
      </w:pPr>
      <w:r>
        <w:rPr>
          <w:rFonts w:hint="eastAsia" w:ascii="宋体" w:hAnsi="宋体"/>
          <w:b/>
          <w:bCs/>
        </w:rPr>
        <w:t>4.5  课程资源的开发和应用</w:t>
      </w:r>
    </w:p>
    <w:p>
      <w:pPr>
        <w:numPr>
          <w:ilvl w:val="0"/>
          <w:numId w:val="0"/>
        </w:numPr>
        <w:rPr>
          <w:rFonts w:hint="eastAsia"/>
        </w:rPr>
      </w:pPr>
      <w:r>
        <w:rPr>
          <w:rFonts w:hint="eastAsia"/>
        </w:rPr>
        <w:t xml:space="preserve">1、常规课程资源的开发和利用。可开发并应用一些直观且形象的挂图、幻灯片、录像片、试听光盘，以调动学生学习积极性、主动性，促进学生理解、接受课程知识和业务流程。  </w:t>
      </w:r>
    </w:p>
    <w:p>
      <w:pPr>
        <w:numPr>
          <w:ilvl w:val="0"/>
          <w:numId w:val="0"/>
        </w:numPr>
      </w:pPr>
      <w:r>
        <w:rPr>
          <w:rFonts w:hint="eastAsia"/>
        </w:rPr>
        <w:t xml:space="preserve">2、教师可充分利用教学软件、课件以及多媒体设备等。  </w:t>
      </w:r>
    </w:p>
    <w:p>
      <w:pPr>
        <w:numPr>
          <w:ilvl w:val="0"/>
          <w:numId w:val="0"/>
        </w:numPr>
        <w:rPr>
          <w:rFonts w:hint="eastAsia"/>
        </w:rPr>
      </w:pPr>
      <w:r>
        <w:rPr>
          <w:rFonts w:hint="eastAsia"/>
        </w:rPr>
        <w:t xml:space="preserve">3、充分运用网络课程资源。可以利用现有的电子书籍、电子期刊、数学图书馆、各大网站等网络资源,使教学内容从单一走向多元，使学生的知识和能力的拓展成为可能。 </w:t>
      </w:r>
    </w:p>
    <w:p>
      <w:pPr>
        <w:numPr>
          <w:ilvl w:val="0"/>
          <w:numId w:val="0"/>
        </w:numPr>
      </w:pPr>
      <w:r>
        <w:rPr>
          <w:rFonts w:hint="eastAsia"/>
        </w:rPr>
        <w:t xml:space="preserve"> 4、开发和利用外校实训基地。本课程属于实践性较强的专业基础课程，培养学生处理经济业务的实际动手能力是本课程的核心目标。因此有一个真实或仿真的操作环境是本课程教学的一个必要条件，学院和系部在不断开发和完善校内实训基地的同时，需要充分利用校外实习基地的培训资源，让学生在真实的环境中理解经济业务的处理，熟悉真实的业务流程，为学生毕业上岗的零过渡做好铺垫</w:t>
      </w:r>
      <w:r>
        <w:rPr>
          <w:rFonts w:hint="eastAsia"/>
          <w:lang w:eastAsia="zh-CN"/>
        </w:rPr>
        <w:t>。</w:t>
      </w:r>
    </w:p>
    <w:p>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Pr>
    </w:pPr>
    <w:r>
      <w:fldChar w:fldCharType="begin"/>
    </w:r>
    <w:r>
      <w:rPr>
        <w:rStyle w:val="6"/>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024756">
    <w:nsid w:val="56E7B134"/>
    <w:multiLevelType w:val="singleLevel"/>
    <w:tmpl w:val="56E7B134"/>
    <w:lvl w:ilvl="0" w:tentative="1">
      <w:start w:val="2"/>
      <w:numFmt w:val="decimal"/>
      <w:suff w:val="space"/>
      <w:lvlText w:val="%1."/>
      <w:lvlJc w:val="left"/>
    </w:lvl>
  </w:abstractNum>
  <w:abstractNum w:abstractNumId="1458027965">
    <w:nsid w:val="56E7BDBD"/>
    <w:multiLevelType w:val="singleLevel"/>
    <w:tmpl w:val="56E7BDBD"/>
    <w:lvl w:ilvl="0" w:tentative="1">
      <w:start w:val="2"/>
      <w:numFmt w:val="chineseCounting"/>
      <w:suff w:val="nothing"/>
      <w:lvlText w:val="（%1）"/>
      <w:lvlJc w:val="left"/>
    </w:lvl>
  </w:abstractNum>
  <w:abstractNum w:abstractNumId="1458028133">
    <w:nsid w:val="56E7BE65"/>
    <w:multiLevelType w:val="singleLevel"/>
    <w:tmpl w:val="56E7BE65"/>
    <w:lvl w:ilvl="0" w:tentative="1">
      <w:start w:val="2"/>
      <w:numFmt w:val="decimal"/>
      <w:suff w:val="nothing"/>
      <w:lvlText w:val="（%1）"/>
      <w:lvlJc w:val="left"/>
    </w:lvl>
  </w:abstractNum>
  <w:abstractNum w:abstractNumId="1458862069">
    <w:nsid w:val="56F477F5"/>
    <w:multiLevelType w:val="singleLevel"/>
    <w:tmpl w:val="56F477F5"/>
    <w:lvl w:ilvl="0" w:tentative="1">
      <w:start w:val="1"/>
      <w:numFmt w:val="decimal"/>
      <w:suff w:val="nothing"/>
      <w:lvlText w:val="%1."/>
      <w:lvlJc w:val="left"/>
    </w:lvl>
  </w:abstractNum>
  <w:num w:numId="1">
    <w:abstractNumId w:val="1458027965"/>
  </w:num>
  <w:num w:numId="2">
    <w:abstractNumId w:val="1458024756"/>
  </w:num>
  <w:num w:numId="3">
    <w:abstractNumId w:val="1458862069"/>
  </w:num>
  <w:num w:numId="4">
    <w:abstractNumId w:val="1458028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513693"/>
    <w:rsid w:val="6D6740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adjustRightInd w:val="0"/>
      <w:jc w:val="left"/>
      <w:textAlignment w:val="baseline"/>
    </w:pPr>
    <w:rPr>
      <w:rFonts w:ascii="MingLiU" w:eastAsia="MingLiU"/>
      <w:kern w:val="0"/>
      <w:sz w:val="24"/>
      <w:lang w:eastAsia="zh-TW"/>
    </w:rPr>
  </w:style>
  <w:style w:type="paragraph" w:styleId="3">
    <w:name w:val="Body Text"/>
    <w:basedOn w:val="1"/>
    <w:uiPriority w:val="0"/>
    <w:pPr>
      <w:jc w:val="center"/>
    </w:p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2016-03-15T06:22:00Z</dcterms:created>
  <dc:creator>Administrator</dc:creator>
  <cp:lastModifiedBy>Administrator</cp:lastModifiedBy>
  <dcterms:modified xsi:type="dcterms:W3CDTF">2016-03-24T23:34:55Z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